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15F3" w14:textId="77777777" w:rsidR="00EB1C5A" w:rsidRPr="00E14EC2" w:rsidRDefault="00EB1C5A" w:rsidP="004321DB">
      <w:pPr>
        <w:pStyle w:val="F2-zkladn"/>
        <w:rPr>
          <w:b/>
          <w:sz w:val="28"/>
          <w:szCs w:val="28"/>
        </w:rPr>
      </w:pPr>
      <w:r>
        <w:rPr>
          <w:b/>
          <w:sz w:val="28"/>
          <w:szCs w:val="28"/>
        </w:rPr>
        <w:t>TISKOVÁ ZPRÁVA</w:t>
      </w:r>
    </w:p>
    <w:p w14:paraId="3730F680" w14:textId="7CDF78FC" w:rsidR="00EB1C5A" w:rsidRDefault="00EB1C5A" w:rsidP="004321DB">
      <w:pPr>
        <w:pStyle w:val="F2-zkladn"/>
        <w:tabs>
          <w:tab w:val="right" w:pos="9070"/>
        </w:tabs>
      </w:pPr>
      <w:r>
        <w:tab/>
      </w:r>
      <w:r w:rsidR="00BE16A9">
        <w:t xml:space="preserve">Praha, </w:t>
      </w:r>
      <w:r w:rsidR="00D6364A">
        <w:t>7</w:t>
      </w:r>
      <w:r w:rsidR="00BE16A9" w:rsidRPr="00966657">
        <w:t xml:space="preserve">. </w:t>
      </w:r>
      <w:r w:rsidR="00D6364A">
        <w:t>února</w:t>
      </w:r>
      <w:r w:rsidR="00BE16A9">
        <w:t xml:space="preserve"> 202</w:t>
      </w:r>
      <w:r w:rsidR="001F501D">
        <w:t>3</w:t>
      </w:r>
    </w:p>
    <w:p w14:paraId="317B04F5" w14:textId="1DE87492" w:rsidR="00AC18D9" w:rsidRDefault="00265DB1" w:rsidP="00024EB1">
      <w:pPr>
        <w:tabs>
          <w:tab w:val="right" w:pos="9070"/>
        </w:tabs>
        <w:spacing w:before="360"/>
        <w:jc w:val="both"/>
        <w:rPr>
          <w:rFonts w:ascii="Arial" w:hAnsi="Arial" w:cs="Arial"/>
          <w:b/>
          <w:sz w:val="28"/>
          <w:szCs w:val="28"/>
        </w:rPr>
      </w:pPr>
      <w:r>
        <w:rPr>
          <w:rFonts w:ascii="Arial" w:hAnsi="Arial" w:cs="Arial"/>
          <w:b/>
          <w:sz w:val="28"/>
          <w:szCs w:val="28"/>
        </w:rPr>
        <w:t xml:space="preserve">Co je dobré vědět před investicí </w:t>
      </w:r>
      <w:r w:rsidR="00062C82">
        <w:rPr>
          <w:rFonts w:ascii="Arial" w:hAnsi="Arial" w:cs="Arial"/>
          <w:b/>
          <w:sz w:val="28"/>
          <w:szCs w:val="28"/>
        </w:rPr>
        <w:t>do solárních panelů</w:t>
      </w:r>
    </w:p>
    <w:p w14:paraId="1082AA43" w14:textId="77777777" w:rsidR="001F501D" w:rsidRDefault="001F501D" w:rsidP="001F501D">
      <w:pPr>
        <w:pStyle w:val="Default"/>
        <w:spacing w:line="360" w:lineRule="auto"/>
        <w:jc w:val="both"/>
        <w:rPr>
          <w:rFonts w:eastAsia="Times New Roman"/>
          <w:b/>
          <w:bCs/>
          <w:sz w:val="20"/>
          <w:szCs w:val="20"/>
          <w:lang w:eastAsia="cs-CZ"/>
        </w:rPr>
      </w:pPr>
    </w:p>
    <w:p w14:paraId="6806476F" w14:textId="3117743C" w:rsidR="00072631" w:rsidRDefault="007F1C44" w:rsidP="00645BDF">
      <w:pPr>
        <w:pStyle w:val="Default"/>
        <w:spacing w:line="360" w:lineRule="auto"/>
        <w:jc w:val="both"/>
        <w:rPr>
          <w:rFonts w:eastAsia="Times New Roman"/>
          <w:b/>
          <w:bCs/>
          <w:sz w:val="20"/>
          <w:szCs w:val="20"/>
          <w:lang w:eastAsia="cs-CZ"/>
        </w:rPr>
      </w:pPr>
      <w:r>
        <w:rPr>
          <w:rFonts w:eastAsia="Times New Roman"/>
          <w:b/>
          <w:bCs/>
          <w:sz w:val="20"/>
          <w:szCs w:val="20"/>
          <w:lang w:eastAsia="cs-CZ"/>
        </w:rPr>
        <w:t xml:space="preserve">Rostoucí náklady na energie, jejich </w:t>
      </w:r>
      <w:r w:rsidR="001E590D">
        <w:rPr>
          <w:rFonts w:eastAsia="Times New Roman"/>
          <w:b/>
          <w:bCs/>
          <w:sz w:val="20"/>
          <w:szCs w:val="20"/>
          <w:lang w:eastAsia="cs-CZ"/>
        </w:rPr>
        <w:t>nestabilní</w:t>
      </w:r>
      <w:r>
        <w:rPr>
          <w:rFonts w:eastAsia="Times New Roman"/>
          <w:b/>
          <w:bCs/>
          <w:sz w:val="20"/>
          <w:szCs w:val="20"/>
          <w:lang w:eastAsia="cs-CZ"/>
        </w:rPr>
        <w:t xml:space="preserve"> </w:t>
      </w:r>
      <w:r w:rsidR="00711AB1">
        <w:rPr>
          <w:rFonts w:eastAsia="Times New Roman"/>
          <w:b/>
          <w:bCs/>
          <w:sz w:val="20"/>
          <w:szCs w:val="20"/>
          <w:lang w:eastAsia="cs-CZ"/>
        </w:rPr>
        <w:t xml:space="preserve">dodávky i touha </w:t>
      </w:r>
      <w:r w:rsidR="002617B4">
        <w:rPr>
          <w:rFonts w:eastAsia="Times New Roman"/>
          <w:b/>
          <w:bCs/>
          <w:sz w:val="20"/>
          <w:szCs w:val="20"/>
          <w:lang w:eastAsia="cs-CZ"/>
        </w:rPr>
        <w:t>se vymanit</w:t>
      </w:r>
      <w:r w:rsidR="009B1005">
        <w:rPr>
          <w:rFonts w:eastAsia="Times New Roman"/>
          <w:b/>
          <w:bCs/>
          <w:sz w:val="20"/>
          <w:szCs w:val="20"/>
          <w:lang w:eastAsia="cs-CZ"/>
        </w:rPr>
        <w:t xml:space="preserve"> ze</w:t>
      </w:r>
      <w:r w:rsidR="002617B4">
        <w:rPr>
          <w:rFonts w:eastAsia="Times New Roman"/>
          <w:b/>
          <w:bCs/>
          <w:sz w:val="20"/>
          <w:szCs w:val="20"/>
          <w:lang w:eastAsia="cs-CZ"/>
        </w:rPr>
        <w:t xml:space="preserve"> závislosti na plynu z Ruska </w:t>
      </w:r>
      <w:r w:rsidR="001E1294">
        <w:rPr>
          <w:rFonts w:eastAsia="Times New Roman"/>
          <w:b/>
          <w:bCs/>
          <w:sz w:val="20"/>
          <w:szCs w:val="20"/>
          <w:lang w:eastAsia="cs-CZ"/>
        </w:rPr>
        <w:t>vede řadu osob</w:t>
      </w:r>
      <w:r w:rsidR="001E590D">
        <w:rPr>
          <w:rFonts w:eastAsia="Times New Roman"/>
          <w:b/>
          <w:bCs/>
          <w:sz w:val="20"/>
          <w:szCs w:val="20"/>
          <w:lang w:eastAsia="cs-CZ"/>
        </w:rPr>
        <w:t xml:space="preserve"> i společností </w:t>
      </w:r>
      <w:r w:rsidR="00DC4169">
        <w:rPr>
          <w:rFonts w:eastAsia="Times New Roman"/>
          <w:b/>
          <w:bCs/>
          <w:sz w:val="20"/>
          <w:szCs w:val="20"/>
          <w:lang w:eastAsia="cs-CZ"/>
        </w:rPr>
        <w:t>k investicím do alternativních zdrojů energie</w:t>
      </w:r>
      <w:r w:rsidR="005C17E5">
        <w:rPr>
          <w:rFonts w:eastAsia="Times New Roman"/>
          <w:b/>
          <w:bCs/>
          <w:sz w:val="20"/>
          <w:szCs w:val="20"/>
          <w:lang w:eastAsia="cs-CZ"/>
        </w:rPr>
        <w:t>. Instalace solárních panelů se nyní stává jednou z</w:t>
      </w:r>
      <w:r w:rsidR="00C35101">
        <w:rPr>
          <w:rFonts w:eastAsia="Times New Roman"/>
          <w:b/>
          <w:bCs/>
          <w:sz w:val="20"/>
          <w:szCs w:val="20"/>
          <w:lang w:eastAsia="cs-CZ"/>
        </w:rPr>
        <w:t> možných var</w:t>
      </w:r>
      <w:r w:rsidR="00D6364A">
        <w:rPr>
          <w:rFonts w:eastAsia="Times New Roman"/>
          <w:b/>
          <w:bCs/>
          <w:sz w:val="20"/>
          <w:szCs w:val="20"/>
          <w:lang w:eastAsia="cs-CZ"/>
        </w:rPr>
        <w:t>i</w:t>
      </w:r>
      <w:r w:rsidR="00C35101">
        <w:rPr>
          <w:rFonts w:eastAsia="Times New Roman"/>
          <w:b/>
          <w:bCs/>
          <w:sz w:val="20"/>
          <w:szCs w:val="20"/>
          <w:lang w:eastAsia="cs-CZ"/>
        </w:rPr>
        <w:t xml:space="preserve">ant. </w:t>
      </w:r>
      <w:r w:rsidR="00645BDF" w:rsidRPr="00645BDF">
        <w:rPr>
          <w:rFonts w:eastAsia="Times New Roman"/>
          <w:b/>
          <w:bCs/>
          <w:sz w:val="20"/>
          <w:szCs w:val="20"/>
          <w:lang w:eastAsia="cs-CZ"/>
        </w:rPr>
        <w:t xml:space="preserve">Výhody jsou nasnadě, </w:t>
      </w:r>
      <w:r w:rsidR="00FC1313">
        <w:rPr>
          <w:rFonts w:eastAsia="Times New Roman"/>
          <w:b/>
          <w:bCs/>
          <w:sz w:val="20"/>
          <w:szCs w:val="20"/>
          <w:lang w:eastAsia="cs-CZ"/>
        </w:rPr>
        <w:t>úspora</w:t>
      </w:r>
      <w:r w:rsidR="00645BDF" w:rsidRPr="00645BDF">
        <w:rPr>
          <w:rFonts w:eastAsia="Times New Roman"/>
          <w:b/>
          <w:bCs/>
          <w:sz w:val="20"/>
          <w:szCs w:val="20"/>
          <w:lang w:eastAsia="cs-CZ"/>
        </w:rPr>
        <w:t xml:space="preserve"> objemu odebírané elektřiny, </w:t>
      </w:r>
      <w:r w:rsidR="00FC1313">
        <w:rPr>
          <w:rFonts w:eastAsia="Times New Roman"/>
          <w:b/>
          <w:bCs/>
          <w:sz w:val="20"/>
          <w:szCs w:val="20"/>
          <w:lang w:eastAsia="cs-CZ"/>
        </w:rPr>
        <w:t>snížení</w:t>
      </w:r>
      <w:r w:rsidR="00645BDF" w:rsidRPr="00645BDF">
        <w:rPr>
          <w:rFonts w:eastAsia="Times New Roman"/>
          <w:b/>
          <w:bCs/>
          <w:sz w:val="20"/>
          <w:szCs w:val="20"/>
          <w:lang w:eastAsia="cs-CZ"/>
        </w:rPr>
        <w:t xml:space="preserve"> uhlíkov</w:t>
      </w:r>
      <w:r w:rsidR="00FC1313">
        <w:rPr>
          <w:rFonts w:eastAsia="Times New Roman"/>
          <w:b/>
          <w:bCs/>
          <w:sz w:val="20"/>
          <w:szCs w:val="20"/>
          <w:lang w:eastAsia="cs-CZ"/>
        </w:rPr>
        <w:t>é</w:t>
      </w:r>
      <w:r w:rsidR="00645BDF" w:rsidRPr="00645BDF">
        <w:rPr>
          <w:rFonts w:eastAsia="Times New Roman"/>
          <w:b/>
          <w:bCs/>
          <w:sz w:val="20"/>
          <w:szCs w:val="20"/>
          <w:lang w:eastAsia="cs-CZ"/>
        </w:rPr>
        <w:t xml:space="preserve"> stop</w:t>
      </w:r>
      <w:r w:rsidR="00FC1313">
        <w:rPr>
          <w:rFonts w:eastAsia="Times New Roman"/>
          <w:b/>
          <w:bCs/>
          <w:sz w:val="20"/>
          <w:szCs w:val="20"/>
          <w:lang w:eastAsia="cs-CZ"/>
        </w:rPr>
        <w:t>y</w:t>
      </w:r>
      <w:r w:rsidR="00645BDF" w:rsidRPr="00645BDF">
        <w:rPr>
          <w:rFonts w:eastAsia="Times New Roman"/>
          <w:b/>
          <w:bCs/>
          <w:sz w:val="20"/>
          <w:szCs w:val="20"/>
          <w:lang w:eastAsia="cs-CZ"/>
        </w:rPr>
        <w:t xml:space="preserve">, a především </w:t>
      </w:r>
      <w:r w:rsidR="00FC1313">
        <w:rPr>
          <w:rFonts w:eastAsia="Times New Roman"/>
          <w:b/>
          <w:bCs/>
          <w:sz w:val="20"/>
          <w:szCs w:val="20"/>
          <w:lang w:eastAsia="cs-CZ"/>
        </w:rPr>
        <w:t>zvýšení</w:t>
      </w:r>
      <w:r w:rsidR="00645BDF" w:rsidRPr="00645BDF">
        <w:rPr>
          <w:rFonts w:eastAsia="Times New Roman"/>
          <w:b/>
          <w:bCs/>
          <w:sz w:val="20"/>
          <w:szCs w:val="20"/>
          <w:lang w:eastAsia="cs-CZ"/>
        </w:rPr>
        <w:t xml:space="preserve"> energet</w:t>
      </w:r>
      <w:r w:rsidR="00FC1313">
        <w:rPr>
          <w:rFonts w:eastAsia="Times New Roman"/>
          <w:b/>
          <w:bCs/>
          <w:sz w:val="20"/>
          <w:szCs w:val="20"/>
          <w:lang w:eastAsia="cs-CZ"/>
        </w:rPr>
        <w:t>ické</w:t>
      </w:r>
      <w:r w:rsidR="00645BDF" w:rsidRPr="00645BDF">
        <w:rPr>
          <w:rFonts w:eastAsia="Times New Roman"/>
          <w:b/>
          <w:bCs/>
          <w:sz w:val="20"/>
          <w:szCs w:val="20"/>
          <w:lang w:eastAsia="cs-CZ"/>
        </w:rPr>
        <w:t xml:space="preserve"> soběstačnost</w:t>
      </w:r>
      <w:r w:rsidR="00072631">
        <w:rPr>
          <w:rFonts w:eastAsia="Times New Roman"/>
          <w:b/>
          <w:bCs/>
          <w:sz w:val="20"/>
          <w:szCs w:val="20"/>
          <w:lang w:eastAsia="cs-CZ"/>
        </w:rPr>
        <w:t>i</w:t>
      </w:r>
      <w:r w:rsidR="00C04165">
        <w:rPr>
          <w:rFonts w:eastAsia="Times New Roman"/>
          <w:b/>
          <w:bCs/>
          <w:sz w:val="20"/>
          <w:szCs w:val="20"/>
          <w:lang w:eastAsia="cs-CZ"/>
        </w:rPr>
        <w:t xml:space="preserve">. </w:t>
      </w:r>
      <w:r w:rsidR="00645BDF" w:rsidRPr="00645BDF">
        <w:rPr>
          <w:rFonts w:eastAsia="Times New Roman"/>
          <w:b/>
          <w:bCs/>
          <w:sz w:val="20"/>
          <w:szCs w:val="20"/>
          <w:lang w:eastAsia="cs-CZ"/>
        </w:rPr>
        <w:t>Před</w:t>
      </w:r>
      <w:r w:rsidR="00072631">
        <w:rPr>
          <w:rFonts w:eastAsia="Times New Roman"/>
          <w:b/>
          <w:bCs/>
          <w:sz w:val="20"/>
          <w:szCs w:val="20"/>
          <w:lang w:eastAsia="cs-CZ"/>
        </w:rPr>
        <w:t xml:space="preserve"> samotnou realizací </w:t>
      </w:r>
      <w:r w:rsidR="0023355E">
        <w:rPr>
          <w:rFonts w:eastAsia="Times New Roman"/>
          <w:b/>
          <w:bCs/>
          <w:sz w:val="20"/>
          <w:szCs w:val="20"/>
          <w:lang w:eastAsia="cs-CZ"/>
        </w:rPr>
        <w:t xml:space="preserve">je však důležité znát i další </w:t>
      </w:r>
      <w:r w:rsidR="006B01D4">
        <w:rPr>
          <w:rFonts w:eastAsia="Times New Roman"/>
          <w:b/>
          <w:bCs/>
          <w:sz w:val="20"/>
          <w:szCs w:val="20"/>
          <w:lang w:eastAsia="cs-CZ"/>
        </w:rPr>
        <w:t xml:space="preserve">aspekty, dopady a povinnosti, které </w:t>
      </w:r>
      <w:r w:rsidR="001B30CF">
        <w:rPr>
          <w:rFonts w:eastAsia="Times New Roman"/>
          <w:b/>
          <w:bCs/>
          <w:sz w:val="20"/>
          <w:szCs w:val="20"/>
          <w:lang w:eastAsia="cs-CZ"/>
        </w:rPr>
        <w:t xml:space="preserve">jsou s touto </w:t>
      </w:r>
      <w:r w:rsidR="002D7D81">
        <w:rPr>
          <w:rFonts w:eastAsia="Times New Roman"/>
          <w:b/>
          <w:bCs/>
          <w:sz w:val="20"/>
          <w:szCs w:val="20"/>
          <w:lang w:eastAsia="cs-CZ"/>
        </w:rPr>
        <w:t>investicí spojeny</w:t>
      </w:r>
      <w:r w:rsidR="001B30CF">
        <w:rPr>
          <w:rFonts w:eastAsia="Times New Roman"/>
          <w:b/>
          <w:bCs/>
          <w:sz w:val="20"/>
          <w:szCs w:val="20"/>
          <w:lang w:eastAsia="cs-CZ"/>
        </w:rPr>
        <w:t xml:space="preserve">. </w:t>
      </w:r>
    </w:p>
    <w:p w14:paraId="1E925C09" w14:textId="77777777" w:rsidR="00072631" w:rsidRDefault="00072631" w:rsidP="00645BDF">
      <w:pPr>
        <w:pStyle w:val="Default"/>
        <w:spacing w:line="360" w:lineRule="auto"/>
        <w:jc w:val="both"/>
        <w:rPr>
          <w:rFonts w:eastAsia="Times New Roman"/>
          <w:b/>
          <w:bCs/>
          <w:sz w:val="20"/>
          <w:szCs w:val="20"/>
          <w:lang w:eastAsia="cs-CZ"/>
        </w:rPr>
      </w:pPr>
    </w:p>
    <w:p w14:paraId="61FBAEA5" w14:textId="3AD4656D" w:rsidR="007B4CB7" w:rsidRDefault="003D45C2" w:rsidP="00A32404">
      <w:pPr>
        <w:pStyle w:val="Default"/>
        <w:spacing w:line="360" w:lineRule="auto"/>
        <w:jc w:val="both"/>
        <w:rPr>
          <w:rFonts w:eastAsia="Times New Roman"/>
          <w:b/>
          <w:bCs/>
          <w:sz w:val="20"/>
          <w:szCs w:val="20"/>
          <w:lang w:eastAsia="cs-CZ"/>
        </w:rPr>
      </w:pPr>
      <w:r>
        <w:rPr>
          <w:rFonts w:eastAsia="Times New Roman"/>
          <w:b/>
          <w:bCs/>
          <w:sz w:val="20"/>
          <w:szCs w:val="20"/>
          <w:lang w:eastAsia="cs-CZ"/>
        </w:rPr>
        <w:t>Licence</w:t>
      </w:r>
    </w:p>
    <w:p w14:paraId="2A969A83" w14:textId="243169B0" w:rsidR="002A5D14" w:rsidRDefault="00333CBC" w:rsidP="002A5D14">
      <w:pPr>
        <w:pStyle w:val="Default"/>
        <w:spacing w:line="360" w:lineRule="auto"/>
        <w:jc w:val="both"/>
        <w:rPr>
          <w:rFonts w:eastAsia="Times New Roman"/>
          <w:sz w:val="20"/>
          <w:szCs w:val="20"/>
          <w:lang w:eastAsia="cs-CZ"/>
        </w:rPr>
      </w:pPr>
      <w:r>
        <w:rPr>
          <w:rFonts w:eastAsia="Times New Roman"/>
          <w:sz w:val="20"/>
          <w:szCs w:val="20"/>
          <w:lang w:eastAsia="cs-CZ"/>
        </w:rPr>
        <w:t>Ještě před pár dny byla p</w:t>
      </w:r>
      <w:r w:rsidR="002A5D14" w:rsidRPr="002A5D14">
        <w:rPr>
          <w:rFonts w:eastAsia="Times New Roman"/>
          <w:sz w:val="20"/>
          <w:szCs w:val="20"/>
          <w:lang w:eastAsia="cs-CZ"/>
        </w:rPr>
        <w:t>ři</w:t>
      </w:r>
      <w:r w:rsidR="002A5D14" w:rsidRPr="002A5D14">
        <w:rPr>
          <w:rFonts w:eastAsia="Times New Roman"/>
          <w:sz w:val="20"/>
          <w:szCs w:val="20"/>
          <w:lang w:eastAsia="cs-CZ"/>
        </w:rPr>
        <w:t xml:space="preserve"> instalaci fotovoltaiky nad 10 </w:t>
      </w:r>
      <w:proofErr w:type="spellStart"/>
      <w:r w:rsidR="002A5D14" w:rsidRPr="002A5D14">
        <w:rPr>
          <w:rFonts w:eastAsia="Times New Roman"/>
          <w:sz w:val="20"/>
          <w:szCs w:val="20"/>
          <w:lang w:eastAsia="cs-CZ"/>
        </w:rPr>
        <w:t>kWp</w:t>
      </w:r>
      <w:proofErr w:type="spellEnd"/>
      <w:r w:rsidR="002A5D14" w:rsidRPr="002A5D14">
        <w:rPr>
          <w:rFonts w:eastAsia="Times New Roman"/>
          <w:sz w:val="20"/>
          <w:szCs w:val="20"/>
          <w:lang w:eastAsia="cs-CZ"/>
        </w:rPr>
        <w:t xml:space="preserve"> a při výrobě elektřiny pro následný prodej spotřebiteli</w:t>
      </w:r>
      <w:r>
        <w:rPr>
          <w:rFonts w:eastAsia="Times New Roman"/>
          <w:sz w:val="20"/>
          <w:szCs w:val="20"/>
          <w:lang w:eastAsia="cs-CZ"/>
        </w:rPr>
        <w:t xml:space="preserve"> třeba</w:t>
      </w:r>
      <w:r w:rsidR="002A5D14" w:rsidRPr="002A5D14">
        <w:rPr>
          <w:rFonts w:eastAsia="Times New Roman"/>
          <w:sz w:val="20"/>
          <w:szCs w:val="20"/>
          <w:lang w:eastAsia="cs-CZ"/>
        </w:rPr>
        <w:t xml:space="preserve"> speciální licence od Energetického regulačního úřadu. 10 </w:t>
      </w:r>
      <w:proofErr w:type="spellStart"/>
      <w:r w:rsidR="002A5D14" w:rsidRPr="002A5D14">
        <w:rPr>
          <w:rFonts w:eastAsia="Times New Roman"/>
          <w:sz w:val="20"/>
          <w:szCs w:val="20"/>
          <w:lang w:eastAsia="cs-CZ"/>
        </w:rPr>
        <w:t>kWp</w:t>
      </w:r>
      <w:proofErr w:type="spellEnd"/>
      <w:r w:rsidR="002A5D14" w:rsidRPr="002A5D14">
        <w:rPr>
          <w:rFonts w:eastAsia="Times New Roman"/>
          <w:sz w:val="20"/>
          <w:szCs w:val="20"/>
          <w:lang w:eastAsia="cs-CZ"/>
        </w:rPr>
        <w:t xml:space="preserve"> dnes sotva odpovídá výkonu </w:t>
      </w:r>
      <w:r w:rsidR="00A36AFF">
        <w:rPr>
          <w:rFonts w:eastAsia="Times New Roman"/>
          <w:sz w:val="20"/>
          <w:szCs w:val="20"/>
          <w:lang w:eastAsia="cs-CZ"/>
        </w:rPr>
        <w:t>fotovo</w:t>
      </w:r>
      <w:r w:rsidR="006C6A80">
        <w:rPr>
          <w:rFonts w:eastAsia="Times New Roman"/>
          <w:sz w:val="20"/>
          <w:szCs w:val="20"/>
          <w:lang w:eastAsia="cs-CZ"/>
        </w:rPr>
        <w:t>ltaické elektrárny (</w:t>
      </w:r>
      <w:r w:rsidR="002A5D14" w:rsidRPr="002A5D14">
        <w:rPr>
          <w:rFonts w:eastAsia="Times New Roman"/>
          <w:sz w:val="20"/>
          <w:szCs w:val="20"/>
          <w:lang w:eastAsia="cs-CZ"/>
        </w:rPr>
        <w:t>FVE</w:t>
      </w:r>
      <w:r w:rsidR="006C6A80">
        <w:rPr>
          <w:rFonts w:eastAsia="Times New Roman"/>
          <w:sz w:val="20"/>
          <w:szCs w:val="20"/>
          <w:lang w:eastAsia="cs-CZ"/>
        </w:rPr>
        <w:t>)</w:t>
      </w:r>
      <w:r w:rsidR="002A5D14" w:rsidRPr="002A5D14">
        <w:rPr>
          <w:rFonts w:eastAsia="Times New Roman"/>
          <w:sz w:val="20"/>
          <w:szCs w:val="20"/>
          <w:lang w:eastAsia="cs-CZ"/>
        </w:rPr>
        <w:t xml:space="preserve"> pro větší rodinný dům</w:t>
      </w:r>
      <w:r w:rsidR="001A7218">
        <w:rPr>
          <w:rFonts w:eastAsia="Times New Roman"/>
          <w:sz w:val="20"/>
          <w:szCs w:val="20"/>
          <w:lang w:eastAsia="cs-CZ"/>
        </w:rPr>
        <w:t xml:space="preserve">. </w:t>
      </w:r>
      <w:r>
        <w:rPr>
          <w:rFonts w:eastAsia="Times New Roman"/>
          <w:sz w:val="20"/>
          <w:szCs w:val="20"/>
          <w:lang w:eastAsia="cs-CZ"/>
        </w:rPr>
        <w:t xml:space="preserve">24. ledna 2023 </w:t>
      </w:r>
      <w:r>
        <w:rPr>
          <w:rFonts w:eastAsia="Times New Roman"/>
          <w:sz w:val="20"/>
          <w:szCs w:val="20"/>
          <w:lang w:eastAsia="cs-CZ"/>
        </w:rPr>
        <w:t xml:space="preserve">však </w:t>
      </w:r>
      <w:r>
        <w:rPr>
          <w:rFonts w:eastAsia="Times New Roman"/>
          <w:sz w:val="20"/>
          <w:szCs w:val="20"/>
          <w:lang w:eastAsia="cs-CZ"/>
        </w:rPr>
        <w:t>nabyla účinnost</w:t>
      </w:r>
      <w:r>
        <w:rPr>
          <w:rFonts w:eastAsia="Times New Roman"/>
          <w:sz w:val="20"/>
          <w:szCs w:val="20"/>
          <w:lang w:eastAsia="cs-CZ"/>
        </w:rPr>
        <w:t xml:space="preserve"> novela energetického zákona</w:t>
      </w:r>
      <w:r w:rsidR="002A5D14" w:rsidRPr="002A5D14">
        <w:rPr>
          <w:rFonts w:eastAsia="Times New Roman"/>
          <w:sz w:val="20"/>
          <w:szCs w:val="20"/>
          <w:lang w:eastAsia="cs-CZ"/>
        </w:rPr>
        <w:t xml:space="preserve"> zvyšující tuto hranici na </w:t>
      </w:r>
      <w:r w:rsidR="002A5D14" w:rsidRPr="002A5D14">
        <w:rPr>
          <w:rFonts w:eastAsia="Times New Roman"/>
          <w:sz w:val="20"/>
          <w:szCs w:val="20"/>
          <w:lang w:eastAsia="cs-CZ"/>
        </w:rPr>
        <w:t>50</w:t>
      </w:r>
      <w:r>
        <w:rPr>
          <w:rFonts w:eastAsia="Times New Roman"/>
          <w:sz w:val="20"/>
          <w:szCs w:val="20"/>
          <w:lang w:eastAsia="cs-CZ"/>
        </w:rPr>
        <w:t xml:space="preserve"> </w:t>
      </w:r>
      <w:proofErr w:type="spellStart"/>
      <w:r w:rsidR="002A5D14" w:rsidRPr="002A5D14">
        <w:rPr>
          <w:rFonts w:eastAsia="Times New Roman"/>
          <w:sz w:val="20"/>
          <w:szCs w:val="20"/>
          <w:lang w:eastAsia="cs-CZ"/>
        </w:rPr>
        <w:t>kWp</w:t>
      </w:r>
      <w:proofErr w:type="spellEnd"/>
      <w:r w:rsidR="002A5D14" w:rsidRPr="002A5D14">
        <w:rPr>
          <w:rFonts w:eastAsia="Times New Roman"/>
          <w:sz w:val="20"/>
          <w:szCs w:val="20"/>
          <w:lang w:eastAsia="cs-CZ"/>
        </w:rPr>
        <w:t xml:space="preserve">. </w:t>
      </w:r>
      <w:r>
        <w:rPr>
          <w:rFonts w:eastAsia="Times New Roman"/>
          <w:sz w:val="20"/>
          <w:szCs w:val="20"/>
          <w:lang w:eastAsia="cs-CZ"/>
        </w:rPr>
        <w:t>Zvýšila se také hranice, od které je p</w:t>
      </w:r>
      <w:r w:rsidR="002A5D14" w:rsidRPr="002A5D14">
        <w:rPr>
          <w:rFonts w:eastAsia="Times New Roman"/>
          <w:sz w:val="20"/>
          <w:szCs w:val="20"/>
          <w:lang w:eastAsia="cs-CZ"/>
        </w:rPr>
        <w:t xml:space="preserve">ro </w:t>
      </w:r>
      <w:r w:rsidR="002A5D14" w:rsidRPr="002A5D14">
        <w:rPr>
          <w:rFonts w:eastAsia="Times New Roman"/>
          <w:sz w:val="20"/>
          <w:szCs w:val="20"/>
          <w:lang w:eastAsia="cs-CZ"/>
        </w:rPr>
        <w:t xml:space="preserve">udělení licence </w:t>
      </w:r>
      <w:r w:rsidRPr="002A5D14">
        <w:rPr>
          <w:rFonts w:eastAsia="Times New Roman"/>
          <w:sz w:val="20"/>
          <w:szCs w:val="20"/>
          <w:lang w:eastAsia="cs-CZ"/>
        </w:rPr>
        <w:t>vyžadována osoba s odbornou způsobilostí</w:t>
      </w:r>
      <w:r>
        <w:rPr>
          <w:rFonts w:eastAsia="Times New Roman"/>
          <w:sz w:val="20"/>
          <w:szCs w:val="20"/>
          <w:lang w:eastAsia="cs-CZ"/>
        </w:rPr>
        <w:t>,</w:t>
      </w:r>
      <w:r w:rsidRPr="002A5D14">
        <w:rPr>
          <w:rFonts w:eastAsia="Times New Roman"/>
          <w:sz w:val="20"/>
          <w:szCs w:val="20"/>
          <w:lang w:eastAsia="cs-CZ"/>
        </w:rPr>
        <w:t xml:space="preserve"> </w:t>
      </w:r>
      <w:r>
        <w:rPr>
          <w:rFonts w:eastAsia="Times New Roman"/>
          <w:sz w:val="20"/>
          <w:szCs w:val="20"/>
          <w:lang w:eastAsia="cs-CZ"/>
        </w:rPr>
        <w:t>z 20 kWp na</w:t>
      </w:r>
      <w:r w:rsidR="002A5D14" w:rsidRPr="002A5D14">
        <w:rPr>
          <w:rFonts w:eastAsia="Times New Roman"/>
          <w:sz w:val="20"/>
          <w:szCs w:val="20"/>
          <w:lang w:eastAsia="cs-CZ"/>
        </w:rPr>
        <w:t xml:space="preserve"> </w:t>
      </w:r>
      <w:r>
        <w:rPr>
          <w:rFonts w:eastAsia="Times New Roman"/>
          <w:sz w:val="20"/>
          <w:szCs w:val="20"/>
          <w:lang w:eastAsia="cs-CZ"/>
        </w:rPr>
        <w:t>5</w:t>
      </w:r>
      <w:r w:rsidR="002A5D14" w:rsidRPr="002A5D14">
        <w:rPr>
          <w:rFonts w:eastAsia="Times New Roman"/>
          <w:sz w:val="20"/>
          <w:szCs w:val="20"/>
          <w:lang w:eastAsia="cs-CZ"/>
        </w:rPr>
        <w:t xml:space="preserve">0 </w:t>
      </w:r>
      <w:proofErr w:type="spellStart"/>
      <w:r w:rsidR="002A5D14" w:rsidRPr="002A5D14">
        <w:rPr>
          <w:rFonts w:eastAsia="Times New Roman"/>
          <w:sz w:val="20"/>
          <w:szCs w:val="20"/>
          <w:lang w:eastAsia="cs-CZ"/>
        </w:rPr>
        <w:t>kWp</w:t>
      </w:r>
      <w:proofErr w:type="spellEnd"/>
      <w:r w:rsidR="002A5D14" w:rsidRPr="002A5D14">
        <w:rPr>
          <w:rFonts w:eastAsia="Times New Roman"/>
          <w:sz w:val="20"/>
          <w:szCs w:val="20"/>
          <w:lang w:eastAsia="cs-CZ"/>
        </w:rPr>
        <w:t xml:space="preserve">. </w:t>
      </w:r>
      <w:r>
        <w:rPr>
          <w:rFonts w:eastAsia="Times New Roman"/>
          <w:sz w:val="20"/>
          <w:szCs w:val="20"/>
          <w:lang w:eastAsia="cs-CZ"/>
        </w:rPr>
        <w:t>Pokud</w:t>
      </w:r>
      <w:r>
        <w:rPr>
          <w:rFonts w:eastAsia="Times New Roman"/>
          <w:sz w:val="20"/>
          <w:szCs w:val="20"/>
          <w:lang w:eastAsia="cs-CZ"/>
        </w:rPr>
        <w:t xml:space="preserve"> i </w:t>
      </w:r>
      <w:r>
        <w:rPr>
          <w:rFonts w:eastAsia="Times New Roman"/>
          <w:sz w:val="20"/>
          <w:szCs w:val="20"/>
          <w:lang w:eastAsia="cs-CZ"/>
        </w:rPr>
        <w:t xml:space="preserve">tak povinné licenci podléháte, počítejte </w:t>
      </w:r>
      <w:r w:rsidR="00C26220">
        <w:rPr>
          <w:rFonts w:eastAsia="Times New Roman"/>
          <w:sz w:val="20"/>
          <w:szCs w:val="20"/>
          <w:lang w:eastAsia="cs-CZ"/>
        </w:rPr>
        <w:t xml:space="preserve">i </w:t>
      </w:r>
      <w:r>
        <w:rPr>
          <w:rFonts w:eastAsia="Times New Roman"/>
          <w:sz w:val="20"/>
          <w:szCs w:val="20"/>
          <w:lang w:eastAsia="cs-CZ"/>
        </w:rPr>
        <w:t xml:space="preserve">s </w:t>
      </w:r>
      <w:r w:rsidR="002A5D14" w:rsidRPr="002A5D14">
        <w:rPr>
          <w:rFonts w:eastAsia="Times New Roman"/>
          <w:sz w:val="20"/>
          <w:szCs w:val="20"/>
          <w:lang w:eastAsia="cs-CZ"/>
        </w:rPr>
        <w:t>další</w:t>
      </w:r>
      <w:r>
        <w:rPr>
          <w:rFonts w:eastAsia="Times New Roman"/>
          <w:sz w:val="20"/>
          <w:szCs w:val="20"/>
          <w:lang w:eastAsia="cs-CZ"/>
        </w:rPr>
        <w:t>mi</w:t>
      </w:r>
      <w:r w:rsidR="002A5D14" w:rsidRPr="002A5D14">
        <w:rPr>
          <w:rFonts w:eastAsia="Times New Roman"/>
          <w:sz w:val="20"/>
          <w:szCs w:val="20"/>
          <w:lang w:eastAsia="cs-CZ"/>
        </w:rPr>
        <w:t xml:space="preserve"> povinnost</w:t>
      </w:r>
      <w:r w:rsidR="00D6364A">
        <w:rPr>
          <w:rFonts w:eastAsia="Times New Roman"/>
          <w:sz w:val="20"/>
          <w:szCs w:val="20"/>
          <w:lang w:eastAsia="cs-CZ"/>
        </w:rPr>
        <w:t>m</w:t>
      </w:r>
      <w:r w:rsidR="002A5D14" w:rsidRPr="002A5D14">
        <w:rPr>
          <w:rFonts w:eastAsia="Times New Roman"/>
          <w:sz w:val="20"/>
          <w:szCs w:val="20"/>
          <w:lang w:eastAsia="cs-CZ"/>
        </w:rPr>
        <w:t>i (např. reportování výkazů o výrobě elektřiny).</w:t>
      </w:r>
    </w:p>
    <w:p w14:paraId="1E4DF5ED" w14:textId="77777777" w:rsidR="002A5D14" w:rsidRPr="002A5D14" w:rsidRDefault="002A5D14" w:rsidP="002A5D14">
      <w:pPr>
        <w:pStyle w:val="Default"/>
        <w:spacing w:line="360" w:lineRule="auto"/>
        <w:jc w:val="both"/>
        <w:rPr>
          <w:rFonts w:eastAsia="Times New Roman"/>
          <w:sz w:val="20"/>
          <w:szCs w:val="20"/>
          <w:lang w:eastAsia="cs-CZ"/>
        </w:rPr>
      </w:pPr>
    </w:p>
    <w:p w14:paraId="6EB26B67" w14:textId="77777777" w:rsidR="002A5D14" w:rsidRPr="002A5D14" w:rsidRDefault="002A5D14" w:rsidP="002A5D14">
      <w:pPr>
        <w:pStyle w:val="Default"/>
        <w:spacing w:line="360" w:lineRule="auto"/>
        <w:jc w:val="both"/>
        <w:rPr>
          <w:rFonts w:eastAsia="Times New Roman"/>
          <w:b/>
          <w:bCs/>
          <w:sz w:val="20"/>
          <w:szCs w:val="20"/>
          <w:lang w:eastAsia="cs-CZ"/>
        </w:rPr>
      </w:pPr>
      <w:r w:rsidRPr="002A5D14">
        <w:rPr>
          <w:rFonts w:eastAsia="Times New Roman"/>
          <w:b/>
          <w:bCs/>
          <w:sz w:val="20"/>
          <w:szCs w:val="20"/>
          <w:lang w:eastAsia="cs-CZ"/>
        </w:rPr>
        <w:t>Daň z elektřiny</w:t>
      </w:r>
    </w:p>
    <w:p w14:paraId="4DCF4A20" w14:textId="0DB2C400" w:rsidR="002A5D14" w:rsidRDefault="002A5D14" w:rsidP="002A5D14">
      <w:pPr>
        <w:pStyle w:val="Default"/>
        <w:spacing w:line="360" w:lineRule="auto"/>
        <w:jc w:val="both"/>
        <w:rPr>
          <w:rFonts w:eastAsia="Times New Roman"/>
          <w:sz w:val="20"/>
          <w:szCs w:val="20"/>
          <w:lang w:eastAsia="cs-CZ"/>
        </w:rPr>
      </w:pPr>
      <w:r w:rsidRPr="002A5D14">
        <w:rPr>
          <w:rFonts w:eastAsia="Times New Roman"/>
          <w:sz w:val="20"/>
          <w:szCs w:val="20"/>
          <w:lang w:eastAsia="cs-CZ"/>
        </w:rPr>
        <w:t xml:space="preserve">Dále </w:t>
      </w:r>
      <w:r w:rsidR="009432B2">
        <w:rPr>
          <w:rFonts w:eastAsia="Times New Roman"/>
          <w:sz w:val="20"/>
          <w:szCs w:val="20"/>
          <w:lang w:eastAsia="cs-CZ"/>
        </w:rPr>
        <w:t xml:space="preserve">je nutné </w:t>
      </w:r>
      <w:r w:rsidRPr="002A5D14">
        <w:rPr>
          <w:rFonts w:eastAsia="Times New Roman"/>
          <w:sz w:val="20"/>
          <w:szCs w:val="20"/>
          <w:lang w:eastAsia="cs-CZ"/>
        </w:rPr>
        <w:t xml:space="preserve">počítat také s nárůstem administrativy v oblasti daní. </w:t>
      </w:r>
      <w:r w:rsidR="00866D8F">
        <w:rPr>
          <w:rFonts w:eastAsia="Times New Roman"/>
          <w:sz w:val="20"/>
          <w:szCs w:val="20"/>
          <w:lang w:eastAsia="cs-CZ"/>
        </w:rPr>
        <w:t xml:space="preserve">V případě prodeje </w:t>
      </w:r>
      <w:r w:rsidRPr="002A5D14">
        <w:rPr>
          <w:rFonts w:eastAsia="Times New Roman"/>
          <w:sz w:val="20"/>
          <w:szCs w:val="20"/>
          <w:lang w:eastAsia="cs-CZ"/>
        </w:rPr>
        <w:t>elektřin</w:t>
      </w:r>
      <w:r w:rsidR="00866D8F">
        <w:rPr>
          <w:rFonts w:eastAsia="Times New Roman"/>
          <w:sz w:val="20"/>
          <w:szCs w:val="20"/>
          <w:lang w:eastAsia="cs-CZ"/>
        </w:rPr>
        <w:t>y</w:t>
      </w:r>
      <w:r w:rsidRPr="002A5D14">
        <w:rPr>
          <w:rFonts w:eastAsia="Times New Roman"/>
          <w:sz w:val="20"/>
          <w:szCs w:val="20"/>
          <w:lang w:eastAsia="cs-CZ"/>
        </w:rPr>
        <w:t xml:space="preserve"> konečnému spotřebiteli (např. nájemci), nebo pokud by výkon instalované FVE převýšil 30 kW (i pro případ pouze vlastní spotřeby/dodání do distribuční soustavy), </w:t>
      </w:r>
      <w:r w:rsidR="00F849D8">
        <w:rPr>
          <w:rFonts w:eastAsia="Times New Roman"/>
          <w:sz w:val="20"/>
          <w:szCs w:val="20"/>
          <w:lang w:eastAsia="cs-CZ"/>
        </w:rPr>
        <w:t>se stáváme</w:t>
      </w:r>
      <w:r w:rsidRPr="002A5D14">
        <w:rPr>
          <w:rFonts w:eastAsia="Times New Roman"/>
          <w:sz w:val="20"/>
          <w:szCs w:val="20"/>
          <w:lang w:eastAsia="cs-CZ"/>
        </w:rPr>
        <w:t xml:space="preserve"> plátcem (až na specifické výjimky) daně z elektřiny. S tím jsou spojeny standardní povinnosti, jako je registrace k dani z elektřiny u místně příslušného celního úřadu a podání přiznání a odvedení daně do 25. dne následujícího měsíce, za který vznikla povinnost daň přiznat. Daň aktuálně činí 28,30 Kč za jednu vyrobenou </w:t>
      </w:r>
      <w:proofErr w:type="spellStart"/>
      <w:r w:rsidRPr="002A5D14">
        <w:rPr>
          <w:rFonts w:eastAsia="Times New Roman"/>
          <w:sz w:val="20"/>
          <w:szCs w:val="20"/>
          <w:lang w:eastAsia="cs-CZ"/>
        </w:rPr>
        <w:t>MWh</w:t>
      </w:r>
      <w:proofErr w:type="spellEnd"/>
      <w:r w:rsidRPr="002A5D14">
        <w:rPr>
          <w:rFonts w:eastAsia="Times New Roman"/>
          <w:sz w:val="20"/>
          <w:szCs w:val="20"/>
          <w:lang w:eastAsia="cs-CZ"/>
        </w:rPr>
        <w:t xml:space="preserve"> a je běžně kalkulační položkou prodejní ceny elektřiny (v případě prodeje).</w:t>
      </w:r>
    </w:p>
    <w:p w14:paraId="7DEFDDB3" w14:textId="77777777" w:rsidR="002A5D14" w:rsidRPr="002A5D14" w:rsidRDefault="002A5D14" w:rsidP="002A5D14">
      <w:pPr>
        <w:pStyle w:val="Default"/>
        <w:spacing w:line="360" w:lineRule="auto"/>
        <w:jc w:val="both"/>
        <w:rPr>
          <w:rFonts w:eastAsia="Times New Roman"/>
          <w:sz w:val="20"/>
          <w:szCs w:val="20"/>
          <w:lang w:eastAsia="cs-CZ"/>
        </w:rPr>
      </w:pPr>
    </w:p>
    <w:p w14:paraId="245B8345" w14:textId="77777777" w:rsidR="002A5D14" w:rsidRPr="002A5D14" w:rsidRDefault="002A5D14" w:rsidP="002A5D14">
      <w:pPr>
        <w:pStyle w:val="Default"/>
        <w:spacing w:line="360" w:lineRule="auto"/>
        <w:jc w:val="both"/>
        <w:rPr>
          <w:rFonts w:eastAsia="Times New Roman"/>
          <w:b/>
          <w:bCs/>
          <w:sz w:val="20"/>
          <w:szCs w:val="20"/>
          <w:lang w:eastAsia="cs-CZ"/>
        </w:rPr>
      </w:pPr>
      <w:r w:rsidRPr="002A5D14">
        <w:rPr>
          <w:rFonts w:eastAsia="Times New Roman"/>
          <w:b/>
          <w:bCs/>
          <w:sz w:val="20"/>
          <w:szCs w:val="20"/>
          <w:lang w:eastAsia="cs-CZ"/>
        </w:rPr>
        <w:t>Prodej přetoků</w:t>
      </w:r>
    </w:p>
    <w:p w14:paraId="65C7B924" w14:textId="5A340E0B" w:rsidR="002A5D14" w:rsidRDefault="002A5D14" w:rsidP="002A5D14">
      <w:pPr>
        <w:pStyle w:val="Default"/>
        <w:spacing w:line="360" w:lineRule="auto"/>
        <w:jc w:val="both"/>
        <w:rPr>
          <w:rFonts w:eastAsia="Times New Roman"/>
          <w:sz w:val="20"/>
          <w:szCs w:val="20"/>
          <w:lang w:eastAsia="cs-CZ"/>
        </w:rPr>
      </w:pPr>
      <w:r w:rsidRPr="002A5D14">
        <w:rPr>
          <w:rFonts w:eastAsia="Times New Roman"/>
          <w:sz w:val="20"/>
          <w:szCs w:val="20"/>
          <w:lang w:eastAsia="cs-CZ"/>
        </w:rPr>
        <w:t>Co s</w:t>
      </w:r>
      <w:r w:rsidR="007F092A">
        <w:rPr>
          <w:rFonts w:eastAsia="Times New Roman"/>
          <w:sz w:val="20"/>
          <w:szCs w:val="20"/>
          <w:lang w:eastAsia="cs-CZ"/>
        </w:rPr>
        <w:t xml:space="preserve"> nespotřebovanou elektřinou? </w:t>
      </w:r>
      <w:r w:rsidRPr="002A5D14">
        <w:rPr>
          <w:rFonts w:eastAsia="Times New Roman"/>
          <w:sz w:val="20"/>
          <w:szCs w:val="20"/>
          <w:lang w:eastAsia="cs-CZ"/>
        </w:rPr>
        <w:t xml:space="preserve">Aktuálně je častým řešením odevzdávat drobné přetoky do distribuční sítě zdarma, případně je odprodávat za předem stanovenou cenu společnosti, která přetoky vykupuje. Některé společnosti zohledňují při odkupu spotové ceny elektřiny, není to však pravidlem. V tomto kontextu </w:t>
      </w:r>
      <w:r w:rsidR="001B0600">
        <w:rPr>
          <w:rFonts w:eastAsia="Times New Roman"/>
          <w:sz w:val="20"/>
          <w:szCs w:val="20"/>
          <w:lang w:eastAsia="cs-CZ"/>
        </w:rPr>
        <w:t xml:space="preserve">je dobré upozornit </w:t>
      </w:r>
      <w:r w:rsidRPr="002A5D14">
        <w:rPr>
          <w:rFonts w:eastAsia="Times New Roman"/>
          <w:sz w:val="20"/>
          <w:szCs w:val="20"/>
          <w:lang w:eastAsia="cs-CZ"/>
        </w:rPr>
        <w:t>ještě na chystanou novelu vyhlášky o Pravidlech trhu s elektřinou, návrh pracuje s možností komunitně sdílet vyrobenou elektřinu, nicméně zatím míří pouze na sdílení v rámci bytového domu.</w:t>
      </w:r>
    </w:p>
    <w:p w14:paraId="0703B570" w14:textId="77777777" w:rsidR="00BF4424" w:rsidRPr="002A5D14" w:rsidRDefault="00BF4424" w:rsidP="002A5D14">
      <w:pPr>
        <w:pStyle w:val="Default"/>
        <w:spacing w:line="360" w:lineRule="auto"/>
        <w:jc w:val="both"/>
        <w:rPr>
          <w:rFonts w:eastAsia="Times New Roman"/>
          <w:sz w:val="20"/>
          <w:szCs w:val="20"/>
          <w:lang w:eastAsia="cs-CZ"/>
        </w:rPr>
      </w:pPr>
    </w:p>
    <w:p w14:paraId="3A169A6E" w14:textId="77777777" w:rsidR="002A5D14" w:rsidRPr="002A5D14" w:rsidRDefault="002A5D14" w:rsidP="00BF4424">
      <w:pPr>
        <w:pStyle w:val="Default"/>
        <w:spacing w:line="360" w:lineRule="auto"/>
        <w:jc w:val="both"/>
        <w:rPr>
          <w:rFonts w:eastAsia="Times New Roman"/>
          <w:b/>
          <w:bCs/>
          <w:sz w:val="20"/>
          <w:szCs w:val="20"/>
          <w:lang w:eastAsia="cs-CZ"/>
        </w:rPr>
      </w:pPr>
      <w:r w:rsidRPr="002A5D14">
        <w:rPr>
          <w:rFonts w:eastAsia="Times New Roman"/>
          <w:b/>
          <w:bCs/>
          <w:sz w:val="20"/>
          <w:szCs w:val="20"/>
          <w:lang w:eastAsia="cs-CZ"/>
        </w:rPr>
        <w:lastRenderedPageBreak/>
        <w:t>Dotace na pořízení</w:t>
      </w:r>
    </w:p>
    <w:p w14:paraId="102F4D93" w14:textId="3CCD38A2" w:rsidR="002A5D14" w:rsidRDefault="002A5D14" w:rsidP="002A5D14">
      <w:pPr>
        <w:pStyle w:val="Default"/>
        <w:spacing w:line="360" w:lineRule="auto"/>
        <w:jc w:val="both"/>
        <w:rPr>
          <w:rFonts w:eastAsia="Times New Roman"/>
          <w:sz w:val="20"/>
          <w:szCs w:val="20"/>
          <w:lang w:eastAsia="cs-CZ"/>
        </w:rPr>
      </w:pPr>
      <w:r w:rsidRPr="002A5D14">
        <w:rPr>
          <w:rFonts w:eastAsia="Times New Roman"/>
          <w:sz w:val="20"/>
          <w:szCs w:val="20"/>
          <w:lang w:eastAsia="cs-CZ"/>
        </w:rPr>
        <w:t xml:space="preserve">Pořizovací náklady začínají v průměru na 30 tis. Kč za jeden instalovaný </w:t>
      </w:r>
      <w:proofErr w:type="spellStart"/>
      <w:r w:rsidRPr="002A5D14">
        <w:rPr>
          <w:rFonts w:eastAsia="Times New Roman"/>
          <w:sz w:val="20"/>
          <w:szCs w:val="20"/>
          <w:lang w:eastAsia="cs-CZ"/>
        </w:rPr>
        <w:t>kWp</w:t>
      </w:r>
      <w:proofErr w:type="spellEnd"/>
      <w:r w:rsidR="00152A8A">
        <w:rPr>
          <w:rFonts w:eastAsia="Times New Roman"/>
          <w:sz w:val="20"/>
          <w:szCs w:val="20"/>
          <w:lang w:eastAsia="cs-CZ"/>
        </w:rPr>
        <w:t xml:space="preserve">. </w:t>
      </w:r>
      <w:r w:rsidR="002D5058">
        <w:rPr>
          <w:rFonts w:eastAsia="Times New Roman"/>
          <w:sz w:val="20"/>
          <w:szCs w:val="20"/>
          <w:lang w:eastAsia="cs-CZ"/>
        </w:rPr>
        <w:t>Pokud je součástí</w:t>
      </w:r>
      <w:r w:rsidR="00D05A5A">
        <w:rPr>
          <w:rFonts w:eastAsia="Times New Roman"/>
          <w:sz w:val="20"/>
          <w:szCs w:val="20"/>
          <w:lang w:eastAsia="cs-CZ"/>
        </w:rPr>
        <w:t xml:space="preserve"> systému také baterie, </w:t>
      </w:r>
      <w:r w:rsidR="00A77B24">
        <w:rPr>
          <w:rFonts w:eastAsia="Times New Roman"/>
          <w:sz w:val="20"/>
          <w:szCs w:val="20"/>
          <w:lang w:eastAsia="cs-CZ"/>
        </w:rPr>
        <w:t>pohybuje se</w:t>
      </w:r>
      <w:r w:rsidR="00D05A5A">
        <w:rPr>
          <w:rFonts w:eastAsia="Times New Roman"/>
          <w:sz w:val="20"/>
          <w:szCs w:val="20"/>
          <w:lang w:eastAsia="cs-CZ"/>
        </w:rPr>
        <w:t xml:space="preserve"> pořizovací cena zhruba </w:t>
      </w:r>
      <w:r w:rsidRPr="002A5D14">
        <w:rPr>
          <w:rFonts w:eastAsia="Times New Roman"/>
          <w:sz w:val="20"/>
          <w:szCs w:val="20"/>
          <w:lang w:eastAsia="cs-CZ"/>
        </w:rPr>
        <w:t xml:space="preserve">na 50 tis. Kč za jeden instalovaný </w:t>
      </w:r>
      <w:proofErr w:type="spellStart"/>
      <w:r w:rsidRPr="002A5D14">
        <w:rPr>
          <w:rFonts w:eastAsia="Times New Roman"/>
          <w:sz w:val="20"/>
          <w:szCs w:val="20"/>
          <w:lang w:eastAsia="cs-CZ"/>
        </w:rPr>
        <w:t>kWp</w:t>
      </w:r>
      <w:proofErr w:type="spellEnd"/>
      <w:r w:rsidRPr="002A5D14">
        <w:rPr>
          <w:rFonts w:eastAsia="Times New Roman"/>
          <w:sz w:val="20"/>
          <w:szCs w:val="20"/>
          <w:lang w:eastAsia="cs-CZ"/>
        </w:rPr>
        <w:t xml:space="preserve">. Aktuálně </w:t>
      </w:r>
      <w:r w:rsidR="00B66783">
        <w:rPr>
          <w:rFonts w:eastAsia="Times New Roman"/>
          <w:sz w:val="20"/>
          <w:szCs w:val="20"/>
          <w:lang w:eastAsia="cs-CZ"/>
        </w:rPr>
        <w:t>je spuštěných několik</w:t>
      </w:r>
      <w:r w:rsidRPr="002A5D14">
        <w:rPr>
          <w:rFonts w:eastAsia="Times New Roman"/>
          <w:sz w:val="20"/>
          <w:szCs w:val="20"/>
          <w:lang w:eastAsia="cs-CZ"/>
        </w:rPr>
        <w:t xml:space="preserve"> dotačních programů, v </w:t>
      </w:r>
      <w:proofErr w:type="gramStart"/>
      <w:r w:rsidRPr="002A5D14">
        <w:rPr>
          <w:rFonts w:eastAsia="Times New Roman"/>
          <w:sz w:val="20"/>
          <w:szCs w:val="20"/>
          <w:lang w:eastAsia="cs-CZ"/>
        </w:rPr>
        <w:t>rámci</w:t>
      </w:r>
      <w:proofErr w:type="gramEnd"/>
      <w:r w:rsidRPr="002A5D14">
        <w:rPr>
          <w:rFonts w:eastAsia="Times New Roman"/>
          <w:sz w:val="20"/>
          <w:szCs w:val="20"/>
          <w:lang w:eastAsia="cs-CZ"/>
        </w:rPr>
        <w:t xml:space="preserve"> kterých je možné žádat o dotace na pořízení FVE podnikatelskými subjekty (např. OPTAK, RES+, nebo NPO). OPTAK poskytne 45 % až 65 % výdajů, u RES+ a NPO </w:t>
      </w:r>
      <w:r w:rsidR="000F1BEF">
        <w:rPr>
          <w:rFonts w:eastAsia="Times New Roman"/>
          <w:sz w:val="20"/>
          <w:szCs w:val="20"/>
          <w:lang w:eastAsia="cs-CZ"/>
        </w:rPr>
        <w:t>je možné</w:t>
      </w:r>
      <w:r w:rsidRPr="002A5D14">
        <w:rPr>
          <w:rFonts w:eastAsia="Times New Roman"/>
          <w:sz w:val="20"/>
          <w:szCs w:val="20"/>
          <w:lang w:eastAsia="cs-CZ"/>
        </w:rPr>
        <w:t xml:space="preserve"> získat až 35 % způsobilých výdajů na solární panely a až 50 % na baterie. Získaní dotace a její výše zaleží především na velikosti podniku, způsob</w:t>
      </w:r>
      <w:r w:rsidR="00135623">
        <w:rPr>
          <w:rFonts w:eastAsia="Times New Roman"/>
          <w:sz w:val="20"/>
          <w:szCs w:val="20"/>
          <w:lang w:eastAsia="cs-CZ"/>
        </w:rPr>
        <w:t>u</w:t>
      </w:r>
      <w:r w:rsidRPr="002A5D14">
        <w:rPr>
          <w:rFonts w:eastAsia="Times New Roman"/>
          <w:sz w:val="20"/>
          <w:szCs w:val="20"/>
          <w:lang w:eastAsia="cs-CZ"/>
        </w:rPr>
        <w:t xml:space="preserve"> provedení a místu realizace. Čerpaná částka či kompenzované náklady na provedení jsou často </w:t>
      </w:r>
      <w:proofErr w:type="spellStart"/>
      <w:r w:rsidRPr="002A5D14">
        <w:rPr>
          <w:rFonts w:eastAsia="Times New Roman"/>
          <w:sz w:val="20"/>
          <w:szCs w:val="20"/>
          <w:lang w:eastAsia="cs-CZ"/>
        </w:rPr>
        <w:t>zastropované</w:t>
      </w:r>
      <w:proofErr w:type="spellEnd"/>
      <w:r w:rsidRPr="002A5D14">
        <w:rPr>
          <w:rFonts w:eastAsia="Times New Roman"/>
          <w:sz w:val="20"/>
          <w:szCs w:val="20"/>
          <w:lang w:eastAsia="cs-CZ"/>
        </w:rPr>
        <w:t>. U některých dotačních programů (NPO) byly již vyčerpány alokované zdroje, projekty jsou tak umisťovány do tzv. zásobníku a jedná se o navýšení kapacity s Evropskou komisí.</w:t>
      </w:r>
    </w:p>
    <w:p w14:paraId="2205A4E6" w14:textId="77777777" w:rsidR="00BF4424" w:rsidRPr="002A5D14" w:rsidRDefault="00BF4424" w:rsidP="002A5D14">
      <w:pPr>
        <w:pStyle w:val="Default"/>
        <w:spacing w:line="360" w:lineRule="auto"/>
        <w:jc w:val="both"/>
        <w:rPr>
          <w:rFonts w:eastAsia="Times New Roman"/>
          <w:sz w:val="20"/>
          <w:szCs w:val="20"/>
          <w:lang w:eastAsia="cs-CZ"/>
        </w:rPr>
      </w:pPr>
    </w:p>
    <w:p w14:paraId="01BFAB31" w14:textId="77777777" w:rsidR="002A5D14" w:rsidRPr="002A5D14" w:rsidRDefault="002A5D14" w:rsidP="00BF4424">
      <w:pPr>
        <w:pStyle w:val="Default"/>
        <w:spacing w:line="360" w:lineRule="auto"/>
        <w:jc w:val="both"/>
        <w:rPr>
          <w:rFonts w:eastAsia="Times New Roman"/>
          <w:b/>
          <w:bCs/>
          <w:sz w:val="20"/>
          <w:szCs w:val="20"/>
          <w:lang w:eastAsia="cs-CZ"/>
        </w:rPr>
      </w:pPr>
      <w:r w:rsidRPr="002A5D14">
        <w:rPr>
          <w:rFonts w:eastAsia="Times New Roman"/>
          <w:b/>
          <w:bCs/>
          <w:sz w:val="20"/>
          <w:szCs w:val="20"/>
          <w:lang w:eastAsia="cs-CZ"/>
        </w:rPr>
        <w:t>Stavební povolení</w:t>
      </w:r>
    </w:p>
    <w:p w14:paraId="31171F6A" w14:textId="100B1B81" w:rsidR="002A5D14" w:rsidRPr="002A5D14" w:rsidRDefault="002A5D14" w:rsidP="002A5D14">
      <w:pPr>
        <w:pStyle w:val="Default"/>
        <w:spacing w:line="360" w:lineRule="auto"/>
        <w:jc w:val="both"/>
        <w:rPr>
          <w:rFonts w:eastAsia="Times New Roman"/>
          <w:sz w:val="20"/>
          <w:szCs w:val="20"/>
          <w:lang w:eastAsia="cs-CZ"/>
        </w:rPr>
      </w:pPr>
      <w:r w:rsidRPr="002A5D14">
        <w:rPr>
          <w:rFonts w:eastAsia="Times New Roman"/>
          <w:sz w:val="20"/>
          <w:szCs w:val="20"/>
          <w:lang w:eastAsia="cs-CZ"/>
        </w:rPr>
        <w:t xml:space="preserve">Pokud jde o FVE umístěnou na stávající stavbu, je pro povinnost stavebního povolení opět rozhodujícím faktorem výkon instalované FVE, </w:t>
      </w:r>
      <w:r w:rsidR="00333CBC">
        <w:rPr>
          <w:rFonts w:eastAsia="Times New Roman"/>
          <w:sz w:val="20"/>
          <w:szCs w:val="20"/>
          <w:lang w:eastAsia="cs-CZ"/>
        </w:rPr>
        <w:t>doposud byla</w:t>
      </w:r>
      <w:r w:rsidRPr="002A5D14">
        <w:rPr>
          <w:rFonts w:eastAsia="Times New Roman"/>
          <w:sz w:val="20"/>
          <w:szCs w:val="20"/>
          <w:lang w:eastAsia="cs-CZ"/>
        </w:rPr>
        <w:t xml:space="preserve"> hranice nastavená na 20 </w:t>
      </w:r>
      <w:proofErr w:type="spellStart"/>
      <w:r w:rsidRPr="002A5D14">
        <w:rPr>
          <w:rFonts w:eastAsia="Times New Roman"/>
          <w:sz w:val="20"/>
          <w:szCs w:val="20"/>
          <w:lang w:eastAsia="cs-CZ"/>
        </w:rPr>
        <w:t>kWp</w:t>
      </w:r>
      <w:proofErr w:type="spellEnd"/>
      <w:r w:rsidRPr="002A5D14">
        <w:rPr>
          <w:rFonts w:eastAsia="Times New Roman"/>
          <w:sz w:val="20"/>
          <w:szCs w:val="20"/>
          <w:lang w:eastAsia="cs-CZ"/>
        </w:rPr>
        <w:t xml:space="preserve">. V jednom balíčku s novelou energetického zákona </w:t>
      </w:r>
      <w:r w:rsidR="00366A9F">
        <w:rPr>
          <w:rFonts w:eastAsia="Times New Roman"/>
          <w:sz w:val="20"/>
          <w:szCs w:val="20"/>
          <w:lang w:eastAsia="cs-CZ"/>
        </w:rPr>
        <w:t>vešla v platnost</w:t>
      </w:r>
      <w:r w:rsidRPr="002A5D14">
        <w:rPr>
          <w:rFonts w:eastAsia="Times New Roman"/>
          <w:sz w:val="20"/>
          <w:szCs w:val="20"/>
          <w:lang w:eastAsia="cs-CZ"/>
        </w:rPr>
        <w:t xml:space="preserve"> novela stavebního zákona navyšující tento limit na 50 </w:t>
      </w:r>
      <w:proofErr w:type="spellStart"/>
      <w:r w:rsidRPr="002A5D14">
        <w:rPr>
          <w:rFonts w:eastAsia="Times New Roman"/>
          <w:sz w:val="20"/>
          <w:szCs w:val="20"/>
          <w:lang w:eastAsia="cs-CZ"/>
        </w:rPr>
        <w:t>kWp</w:t>
      </w:r>
      <w:proofErr w:type="spellEnd"/>
      <w:r w:rsidRPr="002A5D14">
        <w:rPr>
          <w:rFonts w:eastAsia="Times New Roman"/>
          <w:sz w:val="20"/>
          <w:szCs w:val="20"/>
          <w:lang w:eastAsia="cs-CZ"/>
        </w:rPr>
        <w:t xml:space="preserve">. </w:t>
      </w:r>
      <w:r w:rsidR="00366A9F">
        <w:rPr>
          <w:rFonts w:eastAsia="Times New Roman"/>
          <w:sz w:val="20"/>
          <w:szCs w:val="20"/>
          <w:lang w:eastAsia="cs-CZ"/>
        </w:rPr>
        <w:t xml:space="preserve">Od konce ledna se </w:t>
      </w:r>
      <w:r w:rsidR="00366A9F">
        <w:rPr>
          <w:rFonts w:eastAsia="Times New Roman"/>
          <w:sz w:val="20"/>
          <w:szCs w:val="20"/>
          <w:lang w:eastAsia="cs-CZ"/>
        </w:rPr>
        <w:t xml:space="preserve">tak </w:t>
      </w:r>
      <w:r w:rsidR="00366A9F">
        <w:rPr>
          <w:rFonts w:eastAsia="Times New Roman"/>
          <w:sz w:val="20"/>
          <w:szCs w:val="20"/>
          <w:lang w:eastAsia="cs-CZ"/>
        </w:rPr>
        <w:t>můžeme těšit z</w:t>
      </w:r>
      <w:r w:rsidRPr="002A5D14">
        <w:rPr>
          <w:rFonts w:eastAsia="Times New Roman"/>
          <w:sz w:val="20"/>
          <w:szCs w:val="20"/>
          <w:lang w:eastAsia="cs-CZ"/>
        </w:rPr>
        <w:t xml:space="preserve"> částečné </w:t>
      </w:r>
      <w:r w:rsidRPr="002A5D14">
        <w:rPr>
          <w:rFonts w:eastAsia="Times New Roman"/>
          <w:sz w:val="20"/>
          <w:szCs w:val="20"/>
          <w:lang w:eastAsia="cs-CZ"/>
        </w:rPr>
        <w:t>úlev</w:t>
      </w:r>
      <w:r w:rsidR="00366A9F">
        <w:rPr>
          <w:rFonts w:eastAsia="Times New Roman"/>
          <w:sz w:val="20"/>
          <w:szCs w:val="20"/>
          <w:lang w:eastAsia="cs-CZ"/>
        </w:rPr>
        <w:t>y</w:t>
      </w:r>
      <w:r w:rsidRPr="002A5D14">
        <w:rPr>
          <w:rFonts w:eastAsia="Times New Roman"/>
          <w:sz w:val="20"/>
          <w:szCs w:val="20"/>
          <w:lang w:eastAsia="cs-CZ"/>
        </w:rPr>
        <w:t xml:space="preserve"> od byrokracie i u větších projektů podnikatelských subjektů, ne pouze u domácích fotovoltaik.</w:t>
      </w:r>
    </w:p>
    <w:p w14:paraId="09BC8275" w14:textId="77777777" w:rsidR="00704A15" w:rsidRPr="001F501D" w:rsidRDefault="00704A15" w:rsidP="001F501D">
      <w:pPr>
        <w:pStyle w:val="Default"/>
        <w:spacing w:line="360" w:lineRule="auto"/>
        <w:jc w:val="both"/>
        <w:rPr>
          <w:rFonts w:eastAsia="Times New Roman"/>
          <w:b/>
          <w:bCs/>
          <w:sz w:val="20"/>
          <w:szCs w:val="20"/>
          <w:lang w:eastAsia="cs-CZ"/>
        </w:rPr>
      </w:pPr>
    </w:p>
    <w:p w14:paraId="368A6582" w14:textId="77777777" w:rsidR="00021254" w:rsidRDefault="00021254" w:rsidP="003916F2">
      <w:pPr>
        <w:pStyle w:val="F2-zkladn"/>
        <w:tabs>
          <w:tab w:val="right" w:pos="9070"/>
        </w:tabs>
        <w:spacing w:before="0" w:line="240" w:lineRule="auto"/>
        <w:rPr>
          <w:b/>
        </w:rPr>
      </w:pPr>
    </w:p>
    <w:p w14:paraId="766502C4" w14:textId="77777777" w:rsidR="00EB1C5A" w:rsidRDefault="00EB1C5A" w:rsidP="003916F2">
      <w:pPr>
        <w:pStyle w:val="F2-zkladn"/>
        <w:tabs>
          <w:tab w:val="right" w:pos="9070"/>
        </w:tabs>
        <w:spacing w:before="0" w:line="240" w:lineRule="auto"/>
        <w:rPr>
          <w:b/>
        </w:rPr>
      </w:pPr>
      <w:r w:rsidRPr="001A0CB6">
        <w:rPr>
          <w:b/>
        </w:rPr>
        <w:t>Pro více informací kontaktujte:</w:t>
      </w:r>
    </w:p>
    <w:p w14:paraId="1C28118A" w14:textId="73FE04A0" w:rsidR="00EB1C5A" w:rsidRPr="003916F2" w:rsidRDefault="002A3294" w:rsidP="005A2DC0">
      <w:pPr>
        <w:spacing w:after="0" w:line="240" w:lineRule="auto"/>
        <w:rPr>
          <w:rFonts w:ascii="Arial" w:hAnsi="Arial" w:cs="Arial"/>
          <w:sz w:val="20"/>
          <w:szCs w:val="20"/>
        </w:rPr>
      </w:pPr>
      <w:r>
        <w:rPr>
          <w:rFonts w:ascii="Arial" w:hAnsi="Arial" w:cs="Arial"/>
          <w:sz w:val="20"/>
          <w:szCs w:val="20"/>
        </w:rPr>
        <w:t xml:space="preserve">Kamila </w:t>
      </w:r>
      <w:proofErr w:type="spellStart"/>
      <w:r>
        <w:rPr>
          <w:rFonts w:ascii="Arial" w:hAnsi="Arial" w:cs="Arial"/>
          <w:sz w:val="20"/>
          <w:szCs w:val="20"/>
        </w:rPr>
        <w:t>Žitnáková</w:t>
      </w:r>
      <w:proofErr w:type="spellEnd"/>
    </w:p>
    <w:p w14:paraId="4835AA2F" w14:textId="77777777" w:rsidR="00EB1C5A" w:rsidRPr="00AF63E5" w:rsidRDefault="00EB1C5A" w:rsidP="005A2DC0">
      <w:pPr>
        <w:spacing w:after="0" w:line="240" w:lineRule="auto"/>
        <w:rPr>
          <w:rFonts w:ascii="Arial" w:hAnsi="Arial" w:cs="Arial"/>
          <w:b/>
          <w:bCs/>
          <w:sz w:val="20"/>
          <w:szCs w:val="20"/>
        </w:rPr>
      </w:pPr>
      <w:r w:rsidRPr="00AF63E5">
        <w:rPr>
          <w:rFonts w:ascii="Arial" w:hAnsi="Arial" w:cs="Arial"/>
          <w:b/>
          <w:bCs/>
          <w:sz w:val="20"/>
          <w:szCs w:val="20"/>
        </w:rPr>
        <w:t>Crest Communications, a.s.</w:t>
      </w:r>
    </w:p>
    <w:p w14:paraId="4DCE98C0" w14:textId="77777777" w:rsidR="00EB1C5A" w:rsidRPr="00AF63E5" w:rsidRDefault="00EB1C5A" w:rsidP="005A2DC0">
      <w:pPr>
        <w:spacing w:after="0" w:line="240" w:lineRule="auto"/>
        <w:rPr>
          <w:rFonts w:ascii="Arial" w:hAnsi="Arial" w:cs="Arial"/>
          <w:sz w:val="20"/>
          <w:szCs w:val="20"/>
        </w:rPr>
      </w:pPr>
      <w:r w:rsidRPr="00AF63E5">
        <w:rPr>
          <w:rFonts w:ascii="Arial" w:hAnsi="Arial" w:cs="Arial"/>
          <w:sz w:val="20"/>
          <w:szCs w:val="20"/>
        </w:rPr>
        <w:t>Ostrovní 126/30</w:t>
      </w:r>
    </w:p>
    <w:p w14:paraId="09C6E920" w14:textId="77777777" w:rsidR="00EB1C5A" w:rsidRPr="00AF63E5" w:rsidRDefault="00EB1C5A" w:rsidP="005A2DC0">
      <w:pPr>
        <w:spacing w:after="0" w:line="240" w:lineRule="auto"/>
        <w:rPr>
          <w:rFonts w:ascii="Arial" w:hAnsi="Arial" w:cs="Arial"/>
          <w:sz w:val="20"/>
          <w:szCs w:val="20"/>
        </w:rPr>
      </w:pPr>
      <w:r w:rsidRPr="00AF63E5">
        <w:rPr>
          <w:rFonts w:ascii="Arial" w:hAnsi="Arial" w:cs="Arial"/>
          <w:sz w:val="20"/>
          <w:szCs w:val="20"/>
        </w:rPr>
        <w:t>110 00 Praha 1</w:t>
      </w:r>
    </w:p>
    <w:p w14:paraId="2EEA2F44" w14:textId="5E276D42" w:rsidR="00EB1C5A" w:rsidRPr="00AF63E5" w:rsidRDefault="00EB1C5A" w:rsidP="005A2DC0">
      <w:pPr>
        <w:spacing w:after="0" w:line="240" w:lineRule="auto"/>
        <w:rPr>
          <w:rFonts w:ascii="Arial" w:hAnsi="Arial" w:cs="Arial"/>
          <w:sz w:val="20"/>
          <w:szCs w:val="20"/>
        </w:rPr>
      </w:pPr>
      <w:proofErr w:type="spellStart"/>
      <w:r w:rsidRPr="00AF63E5">
        <w:rPr>
          <w:rFonts w:ascii="Arial" w:hAnsi="Arial" w:cs="Arial"/>
          <w:sz w:val="20"/>
          <w:szCs w:val="20"/>
        </w:rPr>
        <w:t>gsm</w:t>
      </w:r>
      <w:proofErr w:type="spellEnd"/>
      <w:r w:rsidRPr="00AF63E5">
        <w:rPr>
          <w:rFonts w:ascii="Arial" w:hAnsi="Arial" w:cs="Arial"/>
          <w:sz w:val="20"/>
          <w:szCs w:val="20"/>
        </w:rPr>
        <w:t xml:space="preserve">: + 420 </w:t>
      </w:r>
      <w:r w:rsidR="003D5F96" w:rsidRPr="003D5F96">
        <w:rPr>
          <w:rFonts w:ascii="Arial" w:hAnsi="Arial" w:cs="Arial"/>
          <w:sz w:val="20"/>
          <w:szCs w:val="20"/>
        </w:rPr>
        <w:t>725 544 106</w:t>
      </w:r>
    </w:p>
    <w:p w14:paraId="692417D8" w14:textId="77777777" w:rsidR="00EB1C5A" w:rsidRPr="00AF63E5" w:rsidRDefault="00000000" w:rsidP="005A2DC0">
      <w:pPr>
        <w:spacing w:after="0" w:line="240" w:lineRule="auto"/>
        <w:rPr>
          <w:rFonts w:ascii="Arial" w:hAnsi="Arial" w:cs="Arial"/>
          <w:sz w:val="20"/>
          <w:szCs w:val="20"/>
        </w:rPr>
      </w:pPr>
      <w:hyperlink w:tooltip="blocked::http://www.crestcom.cz&#10;http://www.crestcom.cz/" w:history="1">
        <w:r w:rsidR="00EB1C5A" w:rsidRPr="00AF63E5">
          <w:rPr>
            <w:rStyle w:val="Hypertextovodkaz"/>
            <w:rFonts w:ascii="Arial" w:hAnsi="Arial" w:cs="Arial"/>
            <w:color w:val="990033"/>
            <w:sz w:val="20"/>
            <w:szCs w:val="20"/>
          </w:rPr>
          <w:t>www.crestcom.cz</w:t>
        </w:r>
      </w:hyperlink>
    </w:p>
    <w:p w14:paraId="28B3B900" w14:textId="5CDD139B" w:rsidR="00316D20" w:rsidRDefault="00EB1C5A" w:rsidP="00316D20">
      <w:pPr>
        <w:spacing w:after="0" w:line="240" w:lineRule="auto"/>
        <w:rPr>
          <w:rStyle w:val="Hypertextovodkaz"/>
          <w:rFonts w:ascii="Arial" w:hAnsi="Arial" w:cs="Arial"/>
          <w:color w:val="990033"/>
          <w:sz w:val="20"/>
          <w:szCs w:val="20"/>
        </w:rPr>
      </w:pPr>
      <w:r w:rsidRPr="00AF63E5">
        <w:rPr>
          <w:rFonts w:ascii="Arial" w:hAnsi="Arial" w:cs="Arial"/>
          <w:color w:val="000000"/>
          <w:sz w:val="20"/>
          <w:szCs w:val="20"/>
        </w:rPr>
        <w:t xml:space="preserve">e-mail: </w:t>
      </w:r>
      <w:hyperlink r:id="rId8" w:history="1">
        <w:r w:rsidR="002A3294" w:rsidRPr="00564BCF">
          <w:rPr>
            <w:rStyle w:val="Hypertextovodkaz"/>
            <w:rFonts w:ascii="Arial" w:hAnsi="Arial" w:cs="Arial"/>
            <w:sz w:val="20"/>
            <w:szCs w:val="20"/>
          </w:rPr>
          <w:t>kamila.zitnakova@crestcom.cz</w:t>
        </w:r>
      </w:hyperlink>
    </w:p>
    <w:p w14:paraId="0C9BF7BF" w14:textId="77777777" w:rsidR="002A3294" w:rsidRDefault="002A3294" w:rsidP="00316D20">
      <w:pPr>
        <w:spacing w:after="0" w:line="240" w:lineRule="auto"/>
        <w:rPr>
          <w:rStyle w:val="Hypertextovodkaz"/>
          <w:rFonts w:ascii="Arial" w:hAnsi="Arial" w:cs="Arial"/>
          <w:color w:val="990033"/>
          <w:sz w:val="20"/>
          <w:szCs w:val="20"/>
        </w:rPr>
      </w:pPr>
    </w:p>
    <w:p w14:paraId="11CCEE53" w14:textId="77777777" w:rsidR="005A2DC0" w:rsidRPr="00316D20" w:rsidRDefault="00EB1C5A" w:rsidP="00316D20">
      <w:pPr>
        <w:spacing w:after="0" w:line="240" w:lineRule="auto"/>
        <w:rPr>
          <w:rFonts w:ascii="Arial" w:hAnsi="Arial" w:cs="Arial"/>
          <w:sz w:val="20"/>
          <w:szCs w:val="20"/>
        </w:rPr>
      </w:pPr>
      <w:r w:rsidRPr="001A0CB6">
        <w:rPr>
          <w:b/>
        </w:rPr>
        <w:t>Informace pro editory:</w:t>
      </w:r>
    </w:p>
    <w:p w14:paraId="7DDF97E7" w14:textId="77777777" w:rsidR="005A2DC0" w:rsidRPr="001A0CB6" w:rsidRDefault="005A2DC0" w:rsidP="005A2DC0">
      <w:pPr>
        <w:pStyle w:val="F2-zkladn"/>
        <w:spacing w:before="0" w:line="240" w:lineRule="auto"/>
        <w:rPr>
          <w:b/>
        </w:rPr>
      </w:pPr>
    </w:p>
    <w:p w14:paraId="05D36A23" w14:textId="74235BCD" w:rsidR="00EB1C5A" w:rsidRPr="003E1363" w:rsidRDefault="00EB1C5A" w:rsidP="005A2DC0">
      <w:pPr>
        <w:pStyle w:val="F2-zkladn"/>
        <w:spacing w:before="0" w:line="240" w:lineRule="auto"/>
      </w:pPr>
      <w:r w:rsidRPr="00316C9E">
        <w:t xml:space="preserve">Skupina </w:t>
      </w:r>
      <w:r w:rsidRPr="001A0CB6">
        <w:rPr>
          <w:b/>
        </w:rPr>
        <w:t xml:space="preserve">TPA </w:t>
      </w:r>
      <w:r>
        <w:rPr>
          <w:b/>
        </w:rPr>
        <w:t>Group</w:t>
      </w:r>
      <w:r w:rsidRPr="00316C9E">
        <w:t xml:space="preserve"> </w:t>
      </w:r>
      <w:r>
        <w:t>poskytuje v České republice své služby od roku</w:t>
      </w:r>
      <w:r w:rsidRPr="00316C9E">
        <w:t xml:space="preserve"> </w:t>
      </w:r>
      <w:r w:rsidRPr="00F32BD2">
        <w:t>1993</w:t>
      </w:r>
      <w:r w:rsidRPr="00316C9E">
        <w:t xml:space="preserve"> a působí celkem v</w:t>
      </w:r>
      <w:r w:rsidR="00483CC4">
        <w:t>e dvanácti</w:t>
      </w:r>
      <w:r>
        <w:t xml:space="preserve"> </w:t>
      </w:r>
      <w:r w:rsidRPr="00316C9E">
        <w:t xml:space="preserve">zemích střední a </w:t>
      </w:r>
      <w:r>
        <w:t>jiho</w:t>
      </w:r>
      <w:r w:rsidRPr="00316C9E">
        <w:t xml:space="preserve">východní Evropy. </w:t>
      </w:r>
      <w:r w:rsidR="009B0DF4">
        <w:t>Poskytuje služby zej</w:t>
      </w:r>
      <w:r w:rsidR="009B0DF4" w:rsidRPr="00F25612">
        <w:t>ména v oblastech daňov</w:t>
      </w:r>
      <w:r w:rsidR="009E77AF">
        <w:t>ého</w:t>
      </w:r>
      <w:r w:rsidR="009B0DF4" w:rsidRPr="00F25612">
        <w:t xml:space="preserve"> poradenství, vedení účetnictví, auditu, oceňování a poradenství při akvizicích.</w:t>
      </w:r>
      <w:r w:rsidR="009B0DF4" w:rsidRPr="00316C9E">
        <w:t xml:space="preserve"> </w:t>
      </w:r>
      <w:r w:rsidRPr="00316C9E">
        <w:t xml:space="preserve"> Zaměřuje se především na </w:t>
      </w:r>
      <w:r>
        <w:t xml:space="preserve">korporátní </w:t>
      </w:r>
      <w:r w:rsidRPr="00316C9E">
        <w:t xml:space="preserve">klienty podnikající </w:t>
      </w:r>
      <w:r>
        <w:t xml:space="preserve">na mezinárodní úrovni </w:t>
      </w:r>
      <w:r w:rsidRPr="00316C9E">
        <w:t xml:space="preserve">v oblasti střední a </w:t>
      </w:r>
      <w:r>
        <w:t>jiho</w:t>
      </w:r>
      <w:r w:rsidRPr="00316C9E">
        <w:t xml:space="preserve">východní Evropy. </w:t>
      </w:r>
      <w:r>
        <w:t xml:space="preserve">Skupina TPA Group je nezávislým členem </w:t>
      </w:r>
      <w:r w:rsidRPr="00BC4A3D">
        <w:t>aliance</w:t>
      </w:r>
      <w:r w:rsidRPr="00F32BD2">
        <w:rPr>
          <w:b/>
        </w:rPr>
        <w:t xml:space="preserve"> </w:t>
      </w:r>
      <w:proofErr w:type="spellStart"/>
      <w:r w:rsidRPr="00F32BD2">
        <w:rPr>
          <w:b/>
        </w:rPr>
        <w:t>Baker</w:t>
      </w:r>
      <w:proofErr w:type="spellEnd"/>
      <w:r w:rsidRPr="00F32BD2">
        <w:rPr>
          <w:b/>
        </w:rPr>
        <w:t xml:space="preserve"> </w:t>
      </w:r>
      <w:proofErr w:type="spellStart"/>
      <w:r w:rsidRPr="00F32BD2">
        <w:rPr>
          <w:b/>
        </w:rPr>
        <w:t>Tilly</w:t>
      </w:r>
      <w:proofErr w:type="spellEnd"/>
      <w:r w:rsidRPr="00F32BD2">
        <w:rPr>
          <w:b/>
        </w:rPr>
        <w:t xml:space="preserve"> </w:t>
      </w:r>
      <w:proofErr w:type="spellStart"/>
      <w:r w:rsidRPr="00F32BD2">
        <w:rPr>
          <w:b/>
        </w:rPr>
        <w:t>Europe</w:t>
      </w:r>
      <w:proofErr w:type="spellEnd"/>
      <w:r w:rsidRPr="00F32BD2">
        <w:rPr>
          <w:b/>
        </w:rPr>
        <w:t xml:space="preserve"> </w:t>
      </w:r>
      <w:proofErr w:type="spellStart"/>
      <w:r w:rsidRPr="00F32BD2">
        <w:rPr>
          <w:b/>
        </w:rPr>
        <w:t>Alliance</w:t>
      </w:r>
      <w:proofErr w:type="spellEnd"/>
      <w:r>
        <w:t xml:space="preserve">, </w:t>
      </w:r>
      <w:r w:rsidRPr="00316D20">
        <w:t xml:space="preserve">jejímiž dalšími členy je celosvětová poradenská síť </w:t>
      </w:r>
      <w:hyperlink r:id="rId9" w:history="1">
        <w:proofErr w:type="spellStart"/>
        <w:r w:rsidRPr="00316D20">
          <w:rPr>
            <w:rStyle w:val="Hypertextovodkaz"/>
            <w:b/>
          </w:rPr>
          <w:t>Baker</w:t>
        </w:r>
        <w:proofErr w:type="spellEnd"/>
        <w:r w:rsidRPr="00316D20">
          <w:rPr>
            <w:rStyle w:val="Hypertextovodkaz"/>
            <w:b/>
          </w:rPr>
          <w:t xml:space="preserve"> </w:t>
        </w:r>
        <w:proofErr w:type="spellStart"/>
        <w:r w:rsidRPr="00316D20">
          <w:rPr>
            <w:rStyle w:val="Hypertextovodkaz"/>
            <w:b/>
          </w:rPr>
          <w:t>Tilly</w:t>
        </w:r>
        <w:proofErr w:type="spellEnd"/>
        <w:r w:rsidRPr="00316D20">
          <w:rPr>
            <w:rStyle w:val="Hypertextovodkaz"/>
            <w:b/>
          </w:rPr>
          <w:t xml:space="preserve"> International</w:t>
        </w:r>
      </w:hyperlink>
      <w:r w:rsidRPr="00316D20">
        <w:t xml:space="preserve"> a samostatný člen </w:t>
      </w:r>
      <w:proofErr w:type="spellStart"/>
      <w:r w:rsidRPr="00316D20">
        <w:t>Baker</w:t>
      </w:r>
      <w:proofErr w:type="spellEnd"/>
      <w:r w:rsidRPr="00316D20">
        <w:t xml:space="preserve"> </w:t>
      </w:r>
      <w:proofErr w:type="spellStart"/>
      <w:r w:rsidRPr="00316D20">
        <w:t>Tilly</w:t>
      </w:r>
      <w:proofErr w:type="spellEnd"/>
      <w:r w:rsidRPr="00316D20">
        <w:t xml:space="preserve"> International, </w:t>
      </w:r>
      <w:hyperlink r:id="rId10" w:history="1">
        <w:proofErr w:type="spellStart"/>
        <w:r w:rsidR="00433B9A">
          <w:rPr>
            <w:rStyle w:val="Hypertextovodkaz"/>
            <w:b/>
          </w:rPr>
          <w:t>Baker</w:t>
        </w:r>
        <w:proofErr w:type="spellEnd"/>
        <w:r w:rsidR="00433B9A">
          <w:rPr>
            <w:rStyle w:val="Hypertextovodkaz"/>
            <w:b/>
          </w:rPr>
          <w:t xml:space="preserve"> </w:t>
        </w:r>
        <w:proofErr w:type="spellStart"/>
        <w:r w:rsidR="00433B9A">
          <w:rPr>
            <w:rStyle w:val="Hypertextovodkaz"/>
            <w:b/>
          </w:rPr>
          <w:t>Tilly</w:t>
        </w:r>
        <w:proofErr w:type="spellEnd"/>
      </w:hyperlink>
      <w:r w:rsidRPr="00316D20">
        <w:t xml:space="preserve"> v Německu. Díky</w:t>
      </w:r>
      <w:r>
        <w:t xml:space="preserve"> členství v </w:t>
      </w:r>
      <w:proofErr w:type="spellStart"/>
      <w:r>
        <w:t>Baker</w:t>
      </w:r>
      <w:proofErr w:type="spellEnd"/>
      <w:r>
        <w:t xml:space="preserve"> </w:t>
      </w:r>
      <w:proofErr w:type="spellStart"/>
      <w:r>
        <w:t>Tilly</w:t>
      </w:r>
      <w:proofErr w:type="spellEnd"/>
      <w:r>
        <w:t xml:space="preserve"> </w:t>
      </w:r>
      <w:proofErr w:type="spellStart"/>
      <w:r>
        <w:t>Europe</w:t>
      </w:r>
      <w:proofErr w:type="spellEnd"/>
      <w:r>
        <w:t xml:space="preserve"> </w:t>
      </w:r>
      <w:proofErr w:type="spellStart"/>
      <w:r>
        <w:t>Allience</w:t>
      </w:r>
      <w:proofErr w:type="spellEnd"/>
      <w:r>
        <w:t xml:space="preserve"> nabízí skupina TPA Group svým klientům služby globální sítě </w:t>
      </w:r>
      <w:proofErr w:type="spellStart"/>
      <w:r>
        <w:t>Baker</w:t>
      </w:r>
      <w:proofErr w:type="spellEnd"/>
      <w:r>
        <w:t xml:space="preserve"> </w:t>
      </w:r>
      <w:proofErr w:type="spellStart"/>
      <w:r>
        <w:t>Tilly</w:t>
      </w:r>
      <w:proofErr w:type="spellEnd"/>
      <w:r>
        <w:t xml:space="preserve"> International, která patří do první desítky celosvětových poradenských sítí. </w:t>
      </w:r>
    </w:p>
    <w:p w14:paraId="1A9B85E0" w14:textId="77777777" w:rsidR="001272D9" w:rsidRDefault="001272D9"/>
    <w:sectPr w:rsidR="001272D9" w:rsidSect="00316D20">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417" w:right="1417" w:bottom="1417" w:left="1417" w:header="16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881B" w14:textId="77777777" w:rsidR="00FB42F4" w:rsidRDefault="00FB42F4" w:rsidP="00087B0F">
      <w:pPr>
        <w:spacing w:after="0" w:line="240" w:lineRule="auto"/>
      </w:pPr>
      <w:r>
        <w:separator/>
      </w:r>
    </w:p>
  </w:endnote>
  <w:endnote w:type="continuationSeparator" w:id="0">
    <w:p w14:paraId="251C84E8" w14:textId="77777777" w:rsidR="00FB42F4" w:rsidRDefault="00FB42F4" w:rsidP="00087B0F">
      <w:pPr>
        <w:spacing w:after="0" w:line="240" w:lineRule="auto"/>
      </w:pPr>
      <w:r>
        <w:continuationSeparator/>
      </w:r>
    </w:p>
  </w:endnote>
  <w:endnote w:type="continuationNotice" w:id="1">
    <w:p w14:paraId="340961BA" w14:textId="77777777" w:rsidR="00FB42F4" w:rsidRDefault="00FB4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C443" w14:textId="77777777" w:rsidR="00A71FE0" w:rsidRDefault="00A71F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5DD5" w14:textId="77777777" w:rsidR="00A71FE0" w:rsidRDefault="00A71FE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939D" w14:textId="77777777" w:rsidR="00A71FE0" w:rsidRDefault="00A71F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5E51" w14:textId="77777777" w:rsidR="00FB42F4" w:rsidRDefault="00FB42F4" w:rsidP="00087B0F">
      <w:pPr>
        <w:spacing w:after="0" w:line="240" w:lineRule="auto"/>
      </w:pPr>
      <w:r>
        <w:separator/>
      </w:r>
    </w:p>
  </w:footnote>
  <w:footnote w:type="continuationSeparator" w:id="0">
    <w:p w14:paraId="34439C5A" w14:textId="77777777" w:rsidR="00FB42F4" w:rsidRDefault="00FB42F4" w:rsidP="00087B0F">
      <w:pPr>
        <w:spacing w:after="0" w:line="240" w:lineRule="auto"/>
      </w:pPr>
      <w:r>
        <w:continuationSeparator/>
      </w:r>
    </w:p>
  </w:footnote>
  <w:footnote w:type="continuationNotice" w:id="1">
    <w:p w14:paraId="309BD744" w14:textId="77777777" w:rsidR="00FB42F4" w:rsidRDefault="00FB42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97B2" w14:textId="77777777" w:rsidR="00A71FE0" w:rsidRDefault="00A71F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D380" w14:textId="77777777" w:rsidR="00704800" w:rsidRDefault="004432AB">
    <w:pPr>
      <w:pStyle w:val="Zhlav"/>
    </w:pPr>
    <w:r>
      <w:rPr>
        <w:noProof/>
        <w:lang w:eastAsia="cs-CZ"/>
      </w:rPr>
      <w:drawing>
        <wp:anchor distT="0" distB="0" distL="114300" distR="114300" simplePos="0" relativeHeight="251657728" behindDoc="0" locked="0" layoutInCell="1" allowOverlap="1" wp14:anchorId="07FBAF7B" wp14:editId="5D87AFFD">
          <wp:simplePos x="0" y="0"/>
          <wp:positionH relativeFrom="margin">
            <wp:posOffset>4303395</wp:posOffset>
          </wp:positionH>
          <wp:positionV relativeFrom="margin">
            <wp:posOffset>-1171575</wp:posOffset>
          </wp:positionV>
          <wp:extent cx="1490980" cy="110998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98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BE73" w14:textId="77777777" w:rsidR="00A71FE0" w:rsidRDefault="00A71F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854A2"/>
    <w:multiLevelType w:val="multilevel"/>
    <w:tmpl w:val="2252EE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62DF9"/>
    <w:multiLevelType w:val="hybridMultilevel"/>
    <w:tmpl w:val="9C2E2D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362CA4"/>
    <w:multiLevelType w:val="multilevel"/>
    <w:tmpl w:val="A476F3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9C4104"/>
    <w:multiLevelType w:val="multilevel"/>
    <w:tmpl w:val="DC0A10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390F40"/>
    <w:multiLevelType w:val="multilevel"/>
    <w:tmpl w:val="959623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1190744">
    <w:abstractNumId w:val="1"/>
  </w:num>
  <w:num w:numId="2" w16cid:durableId="32461032">
    <w:abstractNumId w:val="0"/>
  </w:num>
  <w:num w:numId="3" w16cid:durableId="166484819">
    <w:abstractNumId w:val="2"/>
  </w:num>
  <w:num w:numId="4" w16cid:durableId="1178735745">
    <w:abstractNumId w:val="3"/>
  </w:num>
  <w:num w:numId="5" w16cid:durableId="1232347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0F"/>
    <w:rsid w:val="00021254"/>
    <w:rsid w:val="00024EB1"/>
    <w:rsid w:val="000474F2"/>
    <w:rsid w:val="0005087E"/>
    <w:rsid w:val="00062C82"/>
    <w:rsid w:val="00072631"/>
    <w:rsid w:val="00072CA9"/>
    <w:rsid w:val="00087B0F"/>
    <w:rsid w:val="000A2944"/>
    <w:rsid w:val="000A37EC"/>
    <w:rsid w:val="000B1F52"/>
    <w:rsid w:val="000D70CE"/>
    <w:rsid w:val="000F1BEF"/>
    <w:rsid w:val="000F648D"/>
    <w:rsid w:val="001272D9"/>
    <w:rsid w:val="00135623"/>
    <w:rsid w:val="00150B6E"/>
    <w:rsid w:val="001514D6"/>
    <w:rsid w:val="00152A8A"/>
    <w:rsid w:val="001833EC"/>
    <w:rsid w:val="00190F27"/>
    <w:rsid w:val="001A7218"/>
    <w:rsid w:val="001B0600"/>
    <w:rsid w:val="001B248E"/>
    <w:rsid w:val="001B30CF"/>
    <w:rsid w:val="001C0CE4"/>
    <w:rsid w:val="001C7980"/>
    <w:rsid w:val="001E0D58"/>
    <w:rsid w:val="001E1294"/>
    <w:rsid w:val="001E590D"/>
    <w:rsid w:val="001F387C"/>
    <w:rsid w:val="001F501D"/>
    <w:rsid w:val="002212EA"/>
    <w:rsid w:val="0023355E"/>
    <w:rsid w:val="0023538B"/>
    <w:rsid w:val="002468A7"/>
    <w:rsid w:val="002617B4"/>
    <w:rsid w:val="00265DB1"/>
    <w:rsid w:val="0027105E"/>
    <w:rsid w:val="002948D0"/>
    <w:rsid w:val="002A2A5E"/>
    <w:rsid w:val="002A3294"/>
    <w:rsid w:val="002A5D14"/>
    <w:rsid w:val="002A7D37"/>
    <w:rsid w:val="002C345A"/>
    <w:rsid w:val="002D4C48"/>
    <w:rsid w:val="002D5058"/>
    <w:rsid w:val="002D7D81"/>
    <w:rsid w:val="002E39E1"/>
    <w:rsid w:val="002F6FDD"/>
    <w:rsid w:val="0030704F"/>
    <w:rsid w:val="00307EBA"/>
    <w:rsid w:val="003143B9"/>
    <w:rsid w:val="00316D20"/>
    <w:rsid w:val="00327FEE"/>
    <w:rsid w:val="00333CBC"/>
    <w:rsid w:val="00366A9F"/>
    <w:rsid w:val="00381597"/>
    <w:rsid w:val="00385385"/>
    <w:rsid w:val="003916F2"/>
    <w:rsid w:val="003B2A9F"/>
    <w:rsid w:val="003B5AE8"/>
    <w:rsid w:val="003D45C2"/>
    <w:rsid w:val="003D5F96"/>
    <w:rsid w:val="003E54BF"/>
    <w:rsid w:val="003F0900"/>
    <w:rsid w:val="004010C0"/>
    <w:rsid w:val="004013D0"/>
    <w:rsid w:val="00410BBE"/>
    <w:rsid w:val="00415AAB"/>
    <w:rsid w:val="004321DB"/>
    <w:rsid w:val="00433B9A"/>
    <w:rsid w:val="004432AB"/>
    <w:rsid w:val="00474216"/>
    <w:rsid w:val="00483CC4"/>
    <w:rsid w:val="00494A82"/>
    <w:rsid w:val="004E2B60"/>
    <w:rsid w:val="004F153D"/>
    <w:rsid w:val="004F1F03"/>
    <w:rsid w:val="0051646C"/>
    <w:rsid w:val="0053615C"/>
    <w:rsid w:val="005744B2"/>
    <w:rsid w:val="00590F8E"/>
    <w:rsid w:val="005A2487"/>
    <w:rsid w:val="005A2DC0"/>
    <w:rsid w:val="005C17E5"/>
    <w:rsid w:val="006271A1"/>
    <w:rsid w:val="00643BFA"/>
    <w:rsid w:val="00645BDF"/>
    <w:rsid w:val="00650005"/>
    <w:rsid w:val="00667056"/>
    <w:rsid w:val="00675A2F"/>
    <w:rsid w:val="00677F43"/>
    <w:rsid w:val="006A65B5"/>
    <w:rsid w:val="006A7542"/>
    <w:rsid w:val="006B01D4"/>
    <w:rsid w:val="006B531A"/>
    <w:rsid w:val="006C6A80"/>
    <w:rsid w:val="006D4B45"/>
    <w:rsid w:val="00704800"/>
    <w:rsid w:val="00704A15"/>
    <w:rsid w:val="00711AB1"/>
    <w:rsid w:val="00734F7E"/>
    <w:rsid w:val="00735B2F"/>
    <w:rsid w:val="00740BF3"/>
    <w:rsid w:val="00764026"/>
    <w:rsid w:val="00776D2C"/>
    <w:rsid w:val="00784698"/>
    <w:rsid w:val="00792360"/>
    <w:rsid w:val="007B4CB7"/>
    <w:rsid w:val="007B5B26"/>
    <w:rsid w:val="007B5F1E"/>
    <w:rsid w:val="007C65E0"/>
    <w:rsid w:val="007C74F1"/>
    <w:rsid w:val="007D4CFC"/>
    <w:rsid w:val="007E1A19"/>
    <w:rsid w:val="007F092A"/>
    <w:rsid w:val="007F1C44"/>
    <w:rsid w:val="00836BD5"/>
    <w:rsid w:val="00866D8F"/>
    <w:rsid w:val="00870F35"/>
    <w:rsid w:val="008A6922"/>
    <w:rsid w:val="008D30B5"/>
    <w:rsid w:val="008E0CBB"/>
    <w:rsid w:val="00911D3B"/>
    <w:rsid w:val="009432B2"/>
    <w:rsid w:val="0094387E"/>
    <w:rsid w:val="009448BF"/>
    <w:rsid w:val="00965790"/>
    <w:rsid w:val="00966657"/>
    <w:rsid w:val="0099767A"/>
    <w:rsid w:val="009A0B16"/>
    <w:rsid w:val="009B0DF4"/>
    <w:rsid w:val="009B1005"/>
    <w:rsid w:val="009E5988"/>
    <w:rsid w:val="009E77AF"/>
    <w:rsid w:val="00A03AEB"/>
    <w:rsid w:val="00A32404"/>
    <w:rsid w:val="00A36AFF"/>
    <w:rsid w:val="00A71FE0"/>
    <w:rsid w:val="00A77B24"/>
    <w:rsid w:val="00AA1EC4"/>
    <w:rsid w:val="00AA2DB4"/>
    <w:rsid w:val="00AC18D9"/>
    <w:rsid w:val="00AD05E0"/>
    <w:rsid w:val="00AD6570"/>
    <w:rsid w:val="00AF63E5"/>
    <w:rsid w:val="00B47281"/>
    <w:rsid w:val="00B66783"/>
    <w:rsid w:val="00BB2F4F"/>
    <w:rsid w:val="00BC4A3D"/>
    <w:rsid w:val="00BE16A9"/>
    <w:rsid w:val="00BF4424"/>
    <w:rsid w:val="00C04165"/>
    <w:rsid w:val="00C26220"/>
    <w:rsid w:val="00C27561"/>
    <w:rsid w:val="00C35101"/>
    <w:rsid w:val="00C43F8F"/>
    <w:rsid w:val="00C737BB"/>
    <w:rsid w:val="00CD249C"/>
    <w:rsid w:val="00D01576"/>
    <w:rsid w:val="00D04011"/>
    <w:rsid w:val="00D05A5A"/>
    <w:rsid w:val="00D26944"/>
    <w:rsid w:val="00D27B66"/>
    <w:rsid w:val="00D4284D"/>
    <w:rsid w:val="00D579C4"/>
    <w:rsid w:val="00D6364A"/>
    <w:rsid w:val="00D67270"/>
    <w:rsid w:val="00D72C84"/>
    <w:rsid w:val="00D74683"/>
    <w:rsid w:val="00DA18DA"/>
    <w:rsid w:val="00DB6D1B"/>
    <w:rsid w:val="00DC112F"/>
    <w:rsid w:val="00DC4169"/>
    <w:rsid w:val="00DD06BF"/>
    <w:rsid w:val="00DE31D0"/>
    <w:rsid w:val="00DF5919"/>
    <w:rsid w:val="00DF7E3A"/>
    <w:rsid w:val="00E20A11"/>
    <w:rsid w:val="00E26F91"/>
    <w:rsid w:val="00E62DFE"/>
    <w:rsid w:val="00E75172"/>
    <w:rsid w:val="00E97493"/>
    <w:rsid w:val="00EA436F"/>
    <w:rsid w:val="00EB1C5A"/>
    <w:rsid w:val="00ED4CF4"/>
    <w:rsid w:val="00F32BD2"/>
    <w:rsid w:val="00F849D8"/>
    <w:rsid w:val="00F865A5"/>
    <w:rsid w:val="00FB42F4"/>
    <w:rsid w:val="00FC1313"/>
    <w:rsid w:val="00FE255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8A7B5"/>
  <w15:chartTrackingRefBased/>
  <w15:docId w15:val="{CB94C65A-AEAA-42C2-B1E6-20340A8E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7B0F"/>
    <w:pPr>
      <w:tabs>
        <w:tab w:val="center" w:pos="4536"/>
        <w:tab w:val="right" w:pos="9072"/>
      </w:tabs>
    </w:pPr>
  </w:style>
  <w:style w:type="character" w:customStyle="1" w:styleId="ZhlavChar">
    <w:name w:val="Záhlaví Char"/>
    <w:link w:val="Zhlav"/>
    <w:uiPriority w:val="99"/>
    <w:rsid w:val="00087B0F"/>
    <w:rPr>
      <w:sz w:val="22"/>
      <w:szCs w:val="22"/>
      <w:lang w:eastAsia="en-US"/>
    </w:rPr>
  </w:style>
  <w:style w:type="paragraph" w:styleId="Zpat">
    <w:name w:val="footer"/>
    <w:basedOn w:val="Normln"/>
    <w:link w:val="ZpatChar"/>
    <w:uiPriority w:val="99"/>
    <w:unhideWhenUsed/>
    <w:rsid w:val="00087B0F"/>
    <w:pPr>
      <w:tabs>
        <w:tab w:val="center" w:pos="4536"/>
        <w:tab w:val="right" w:pos="9072"/>
      </w:tabs>
    </w:pPr>
  </w:style>
  <w:style w:type="character" w:customStyle="1" w:styleId="ZpatChar">
    <w:name w:val="Zápatí Char"/>
    <w:link w:val="Zpat"/>
    <w:uiPriority w:val="99"/>
    <w:rsid w:val="00087B0F"/>
    <w:rPr>
      <w:sz w:val="22"/>
      <w:szCs w:val="22"/>
      <w:lang w:eastAsia="en-US"/>
    </w:rPr>
  </w:style>
  <w:style w:type="paragraph" w:customStyle="1" w:styleId="F2-zkladn">
    <w:name w:val="F2 - základní"/>
    <w:link w:val="F2-zkladnCharChar"/>
    <w:rsid w:val="00EB1C5A"/>
    <w:pPr>
      <w:spacing w:before="240" w:line="300" w:lineRule="exact"/>
      <w:jc w:val="both"/>
    </w:pPr>
    <w:rPr>
      <w:rFonts w:ascii="Arial" w:eastAsia="Times New Roman" w:hAnsi="Arial" w:cs="Arial"/>
      <w:lang w:eastAsia="cs-CZ"/>
    </w:rPr>
  </w:style>
  <w:style w:type="character" w:styleId="Hypertextovodkaz">
    <w:name w:val="Hyperlink"/>
    <w:semiHidden/>
    <w:rsid w:val="00EB1C5A"/>
    <w:rPr>
      <w:color w:val="0000FF"/>
      <w:u w:val="single"/>
    </w:rPr>
  </w:style>
  <w:style w:type="character" w:customStyle="1" w:styleId="F2-zkladnCharChar">
    <w:name w:val="F2 - základní Char Char"/>
    <w:link w:val="F2-zkladn"/>
    <w:rsid w:val="00EB1C5A"/>
    <w:rPr>
      <w:rFonts w:ascii="Arial" w:eastAsia="Times New Roman" w:hAnsi="Arial" w:cs="Arial"/>
    </w:rPr>
  </w:style>
  <w:style w:type="character" w:styleId="Odkaznakoment">
    <w:name w:val="annotation reference"/>
    <w:uiPriority w:val="99"/>
    <w:semiHidden/>
    <w:unhideWhenUsed/>
    <w:rsid w:val="00BC4A3D"/>
    <w:rPr>
      <w:sz w:val="16"/>
      <w:szCs w:val="16"/>
    </w:rPr>
  </w:style>
  <w:style w:type="paragraph" w:styleId="Textkomente">
    <w:name w:val="annotation text"/>
    <w:basedOn w:val="Normln"/>
    <w:link w:val="TextkomenteChar"/>
    <w:uiPriority w:val="99"/>
    <w:semiHidden/>
    <w:unhideWhenUsed/>
    <w:rsid w:val="00BC4A3D"/>
    <w:rPr>
      <w:sz w:val="20"/>
      <w:szCs w:val="20"/>
    </w:rPr>
  </w:style>
  <w:style w:type="character" w:customStyle="1" w:styleId="TextkomenteChar">
    <w:name w:val="Text komentáře Char"/>
    <w:link w:val="Textkomente"/>
    <w:uiPriority w:val="99"/>
    <w:semiHidden/>
    <w:rsid w:val="00BC4A3D"/>
    <w:rPr>
      <w:lang w:eastAsia="en-US"/>
    </w:rPr>
  </w:style>
  <w:style w:type="paragraph" w:styleId="Pedmtkomente">
    <w:name w:val="annotation subject"/>
    <w:basedOn w:val="Textkomente"/>
    <w:next w:val="Textkomente"/>
    <w:link w:val="PedmtkomenteChar"/>
    <w:uiPriority w:val="99"/>
    <w:semiHidden/>
    <w:unhideWhenUsed/>
    <w:rsid w:val="00BC4A3D"/>
    <w:rPr>
      <w:b/>
      <w:bCs/>
    </w:rPr>
  </w:style>
  <w:style w:type="character" w:customStyle="1" w:styleId="PedmtkomenteChar">
    <w:name w:val="Předmět komentáře Char"/>
    <w:link w:val="Pedmtkomente"/>
    <w:uiPriority w:val="99"/>
    <w:semiHidden/>
    <w:rsid w:val="00BC4A3D"/>
    <w:rPr>
      <w:b/>
      <w:bCs/>
      <w:lang w:eastAsia="en-US"/>
    </w:rPr>
  </w:style>
  <w:style w:type="paragraph" w:styleId="Textbubliny">
    <w:name w:val="Balloon Text"/>
    <w:basedOn w:val="Normln"/>
    <w:link w:val="TextbublinyChar"/>
    <w:uiPriority w:val="99"/>
    <w:semiHidden/>
    <w:unhideWhenUsed/>
    <w:rsid w:val="00BC4A3D"/>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C4A3D"/>
    <w:rPr>
      <w:rFonts w:ascii="Segoe UI" w:hAnsi="Segoe UI" w:cs="Segoe UI"/>
      <w:sz w:val="18"/>
      <w:szCs w:val="18"/>
      <w:lang w:eastAsia="en-US"/>
    </w:rPr>
  </w:style>
  <w:style w:type="paragraph" w:styleId="Revize">
    <w:name w:val="Revision"/>
    <w:hidden/>
    <w:uiPriority w:val="99"/>
    <w:semiHidden/>
    <w:rsid w:val="00BC4A3D"/>
    <w:rPr>
      <w:sz w:val="22"/>
      <w:szCs w:val="22"/>
      <w:lang w:eastAsia="en-US"/>
    </w:rPr>
  </w:style>
  <w:style w:type="paragraph" w:customStyle="1" w:styleId="Default">
    <w:name w:val="Default"/>
    <w:rsid w:val="00024EB1"/>
    <w:pPr>
      <w:autoSpaceDE w:val="0"/>
      <w:autoSpaceDN w:val="0"/>
      <w:adjustRightInd w:val="0"/>
    </w:pPr>
    <w:rPr>
      <w:rFonts w:ascii="Arial" w:eastAsiaTheme="minorHAnsi" w:hAnsi="Arial" w:cs="Arial"/>
      <w:color w:val="000000"/>
      <w:sz w:val="24"/>
      <w:szCs w:val="24"/>
      <w:lang w:eastAsia="en-US"/>
    </w:rPr>
  </w:style>
  <w:style w:type="paragraph" w:styleId="Textvysvtlivek">
    <w:name w:val="endnote text"/>
    <w:basedOn w:val="Normln"/>
    <w:link w:val="TextvysvtlivekChar"/>
    <w:uiPriority w:val="99"/>
    <w:semiHidden/>
    <w:unhideWhenUsed/>
    <w:rsid w:val="002468A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468A7"/>
    <w:rPr>
      <w:lang w:eastAsia="en-US"/>
    </w:rPr>
  </w:style>
  <w:style w:type="character" w:styleId="Odkaznavysvtlivky">
    <w:name w:val="endnote reference"/>
    <w:basedOn w:val="Standardnpsmoodstavce"/>
    <w:uiPriority w:val="99"/>
    <w:semiHidden/>
    <w:unhideWhenUsed/>
    <w:rsid w:val="002468A7"/>
    <w:rPr>
      <w:vertAlign w:val="superscript"/>
    </w:rPr>
  </w:style>
  <w:style w:type="paragraph" w:styleId="Textpoznpodarou">
    <w:name w:val="footnote text"/>
    <w:basedOn w:val="Normln"/>
    <w:link w:val="TextpoznpodarouChar"/>
    <w:uiPriority w:val="99"/>
    <w:semiHidden/>
    <w:unhideWhenUsed/>
    <w:rsid w:val="006B53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531A"/>
    <w:rPr>
      <w:lang w:eastAsia="en-US"/>
    </w:rPr>
  </w:style>
  <w:style w:type="character" w:styleId="Znakapoznpodarou">
    <w:name w:val="footnote reference"/>
    <w:basedOn w:val="Standardnpsmoodstavce"/>
    <w:uiPriority w:val="99"/>
    <w:semiHidden/>
    <w:unhideWhenUsed/>
    <w:rsid w:val="006B531A"/>
    <w:rPr>
      <w:vertAlign w:val="superscript"/>
    </w:rPr>
  </w:style>
  <w:style w:type="character" w:styleId="Nevyeenzmnka">
    <w:name w:val="Unresolved Mention"/>
    <w:basedOn w:val="Standardnpsmoodstavce"/>
    <w:uiPriority w:val="99"/>
    <w:semiHidden/>
    <w:unhideWhenUsed/>
    <w:rsid w:val="002A3294"/>
    <w:rPr>
      <w:color w:val="605E5C"/>
      <w:shd w:val="clear" w:color="auto" w:fill="E1DFDD"/>
    </w:rPr>
  </w:style>
  <w:style w:type="paragraph" w:styleId="Normlnweb">
    <w:name w:val="Normal (Web)"/>
    <w:basedOn w:val="Normln"/>
    <w:uiPriority w:val="99"/>
    <w:semiHidden/>
    <w:unhideWhenUsed/>
    <w:rsid w:val="00ED4CF4"/>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0854">
      <w:bodyDiv w:val="1"/>
      <w:marLeft w:val="0"/>
      <w:marRight w:val="0"/>
      <w:marTop w:val="0"/>
      <w:marBottom w:val="0"/>
      <w:divBdr>
        <w:top w:val="none" w:sz="0" w:space="0" w:color="auto"/>
        <w:left w:val="none" w:sz="0" w:space="0" w:color="auto"/>
        <w:bottom w:val="none" w:sz="0" w:space="0" w:color="auto"/>
        <w:right w:val="none" w:sz="0" w:space="0" w:color="auto"/>
      </w:divBdr>
    </w:div>
    <w:div w:id="395904549">
      <w:bodyDiv w:val="1"/>
      <w:marLeft w:val="0"/>
      <w:marRight w:val="0"/>
      <w:marTop w:val="0"/>
      <w:marBottom w:val="0"/>
      <w:divBdr>
        <w:top w:val="none" w:sz="0" w:space="0" w:color="auto"/>
        <w:left w:val="none" w:sz="0" w:space="0" w:color="auto"/>
        <w:bottom w:val="none" w:sz="0" w:space="0" w:color="auto"/>
        <w:right w:val="none" w:sz="0" w:space="0" w:color="auto"/>
      </w:divBdr>
    </w:div>
    <w:div w:id="910894313">
      <w:bodyDiv w:val="1"/>
      <w:marLeft w:val="0"/>
      <w:marRight w:val="0"/>
      <w:marTop w:val="0"/>
      <w:marBottom w:val="0"/>
      <w:divBdr>
        <w:top w:val="none" w:sz="0" w:space="0" w:color="auto"/>
        <w:left w:val="none" w:sz="0" w:space="0" w:color="auto"/>
        <w:bottom w:val="none" w:sz="0" w:space="0" w:color="auto"/>
        <w:right w:val="none" w:sz="0" w:space="0" w:color="auto"/>
      </w:divBdr>
    </w:div>
    <w:div w:id="1157457582">
      <w:bodyDiv w:val="1"/>
      <w:marLeft w:val="0"/>
      <w:marRight w:val="0"/>
      <w:marTop w:val="0"/>
      <w:marBottom w:val="0"/>
      <w:divBdr>
        <w:top w:val="none" w:sz="0" w:space="0" w:color="auto"/>
        <w:left w:val="none" w:sz="0" w:space="0" w:color="auto"/>
        <w:bottom w:val="none" w:sz="0" w:space="0" w:color="auto"/>
        <w:right w:val="none" w:sz="0" w:space="0" w:color="auto"/>
      </w:divBdr>
    </w:div>
    <w:div w:id="1432358681">
      <w:bodyDiv w:val="1"/>
      <w:marLeft w:val="0"/>
      <w:marRight w:val="0"/>
      <w:marTop w:val="0"/>
      <w:marBottom w:val="0"/>
      <w:divBdr>
        <w:top w:val="none" w:sz="0" w:space="0" w:color="auto"/>
        <w:left w:val="none" w:sz="0" w:space="0" w:color="auto"/>
        <w:bottom w:val="none" w:sz="0" w:space="0" w:color="auto"/>
        <w:right w:val="none" w:sz="0" w:space="0" w:color="auto"/>
      </w:divBdr>
    </w:div>
    <w:div w:id="2002467253">
      <w:bodyDiv w:val="1"/>
      <w:marLeft w:val="0"/>
      <w:marRight w:val="0"/>
      <w:marTop w:val="0"/>
      <w:marBottom w:val="0"/>
      <w:divBdr>
        <w:top w:val="none" w:sz="0" w:space="0" w:color="auto"/>
        <w:left w:val="none" w:sz="0" w:space="0" w:color="auto"/>
        <w:bottom w:val="none" w:sz="0" w:space="0" w:color="auto"/>
        <w:right w:val="none" w:sz="0" w:space="0" w:color="auto"/>
      </w:divBdr>
    </w:div>
    <w:div w:id="210903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zitnakova@crestcom.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akertilly.de/" TargetMode="External"/><Relationship Id="rId4" Type="http://schemas.openxmlformats.org/officeDocument/2006/relationships/settings" Target="settings.xml"/><Relationship Id="rId9" Type="http://schemas.openxmlformats.org/officeDocument/2006/relationships/hyperlink" Target="http://www.bakertillyinternational.com/web/home.asp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4D755-B27C-44A7-AE74-9DCC544A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722</Words>
  <Characters>4265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4978</CharactersWithSpaces>
  <SharedDoc>false</SharedDoc>
  <HLinks>
    <vt:vector size="18" baseType="variant">
      <vt:variant>
        <vt:i4>1966161</vt:i4>
      </vt:variant>
      <vt:variant>
        <vt:i4>9</vt:i4>
      </vt:variant>
      <vt:variant>
        <vt:i4>0</vt:i4>
      </vt:variant>
      <vt:variant>
        <vt:i4>5</vt:i4>
      </vt:variant>
      <vt:variant>
        <vt:lpwstr>http://www.bakertilly.de/</vt:lpwstr>
      </vt:variant>
      <vt:variant>
        <vt:lpwstr/>
      </vt:variant>
      <vt:variant>
        <vt:i4>720917</vt:i4>
      </vt:variant>
      <vt:variant>
        <vt:i4>6</vt:i4>
      </vt:variant>
      <vt:variant>
        <vt:i4>0</vt:i4>
      </vt:variant>
      <vt:variant>
        <vt:i4>5</vt:i4>
      </vt:variant>
      <vt:variant>
        <vt:lpwstr>http://www.bakertillyinternational.com/web/home.aspx</vt:lpwstr>
      </vt:variant>
      <vt:variant>
        <vt:lpwstr/>
      </vt:variant>
      <vt:variant>
        <vt:i4>5636133</vt:i4>
      </vt:variant>
      <vt:variant>
        <vt:i4>3</vt:i4>
      </vt:variant>
      <vt:variant>
        <vt:i4>0</vt:i4>
      </vt:variant>
      <vt:variant>
        <vt:i4>5</vt:i4>
      </vt:variant>
      <vt:variant>
        <vt:lpwstr>mailto:marcela.stefcova@crestcom.cz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Linhartová</dc:creator>
  <cp:keywords/>
  <dc:description/>
  <cp:lastModifiedBy>Vendula Matějková</cp:lastModifiedBy>
  <cp:revision>3</cp:revision>
  <cp:lastPrinted>2016-08-25T19:42:00Z</cp:lastPrinted>
  <dcterms:created xsi:type="dcterms:W3CDTF">2023-02-06T20:33:00Z</dcterms:created>
  <dcterms:modified xsi:type="dcterms:W3CDTF">2023-02-07T10:09:00Z</dcterms:modified>
</cp:coreProperties>
</file>